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90" w:rsidRPr="00837990" w:rsidRDefault="00837990" w:rsidP="00837990">
      <w:pPr>
        <w:shd w:val="clear" w:color="auto" w:fill="FFFFFF"/>
        <w:spacing w:after="0" w:line="240" w:lineRule="auto"/>
        <w:rPr>
          <w:rFonts w:ascii="Helvetica" w:eastAsia="Times New Roman" w:hAnsi="Helvetica" w:cs="Helvetica"/>
          <w:color w:val="333333"/>
          <w:sz w:val="20"/>
          <w:szCs w:val="20"/>
        </w:rPr>
      </w:pPr>
      <w:r w:rsidRPr="00837990">
        <w:rPr>
          <w:rFonts w:ascii="Helvetica" w:eastAsia="Times New Roman" w:hAnsi="Helvetica" w:cs="Helvetica"/>
          <w:color w:val="993366"/>
          <w:sz w:val="45"/>
          <w:szCs w:val="45"/>
        </w:rPr>
        <w:t>Notice of Changes to NIH Policy for Issuing Certificates of Confidentiality</w:t>
      </w:r>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pict>
          <v:rect id="_x0000_i1025" style="width:0;height:0" o:hralign="center" o:hrstd="t" o:hrnoshade="t" o:hr="t" fillcolor="#a0a0a0" stroked="f"/>
        </w:pic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993366"/>
          <w:sz w:val="36"/>
          <w:szCs w:val="36"/>
        </w:rPr>
        <w:t>Notice Number:</w:t>
      </w:r>
      <w:r w:rsidRPr="00837990">
        <w:rPr>
          <w:rFonts w:ascii="Helvetica" w:eastAsia="Times New Roman" w:hAnsi="Helvetica" w:cs="Helvetica"/>
          <w:color w:val="333333"/>
          <w:sz w:val="20"/>
          <w:szCs w:val="20"/>
        </w:rPr>
        <w:t> </w:t>
      </w:r>
      <w:r w:rsidRPr="00837990">
        <w:rPr>
          <w:rFonts w:ascii="Helvetica" w:eastAsia="Times New Roman" w:hAnsi="Helvetica" w:cs="Helvetica"/>
          <w:color w:val="333333"/>
          <w:sz w:val="30"/>
          <w:szCs w:val="30"/>
        </w:rPr>
        <w:t>NOT-OD-17-109</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993366"/>
          <w:sz w:val="36"/>
          <w:szCs w:val="36"/>
        </w:rPr>
        <w:t>Key Dates</w:t>
      </w:r>
      <w:r w:rsidRPr="00837990">
        <w:rPr>
          <w:rFonts w:ascii="Helvetica" w:eastAsia="Times New Roman" w:hAnsi="Helvetica" w:cs="Helvetica"/>
          <w:color w:val="333333"/>
          <w:sz w:val="20"/>
          <w:szCs w:val="20"/>
        </w:rPr>
        <w:br/>
      </w:r>
      <w:r w:rsidRPr="00837990">
        <w:rPr>
          <w:rFonts w:ascii="Helvetica" w:eastAsia="Times New Roman" w:hAnsi="Helvetica" w:cs="Helvetica"/>
          <w:b/>
          <w:bCs/>
          <w:color w:val="333333"/>
          <w:sz w:val="20"/>
          <w:szCs w:val="20"/>
        </w:rPr>
        <w:t>Release Date: </w:t>
      </w:r>
      <w:r w:rsidRPr="00837990">
        <w:rPr>
          <w:rFonts w:ascii="Helvetica" w:eastAsia="Times New Roman" w:hAnsi="Helvetica" w:cs="Helvetica"/>
          <w:color w:val="333333"/>
          <w:sz w:val="20"/>
          <w:szCs w:val="20"/>
        </w:rPr>
        <w:t>September 7, 2017</w:t>
      </w:r>
      <w:r w:rsidRPr="00837990">
        <w:rPr>
          <w:rFonts w:ascii="Helvetica" w:eastAsia="Times New Roman" w:hAnsi="Helvetica" w:cs="Helvetica"/>
          <w:color w:val="333333"/>
          <w:sz w:val="20"/>
          <w:szCs w:val="20"/>
        </w:rPr>
        <w:br/>
      </w:r>
      <w:r w:rsidRPr="00837990">
        <w:rPr>
          <w:rFonts w:ascii="Helvetica" w:eastAsia="Times New Roman" w:hAnsi="Helvetica" w:cs="Helvetica"/>
          <w:b/>
          <w:bCs/>
          <w:color w:val="333333"/>
          <w:sz w:val="20"/>
          <w:szCs w:val="20"/>
        </w:rPr>
        <w:t>Effective Date: </w:t>
      </w:r>
      <w:r w:rsidRPr="00837990">
        <w:rPr>
          <w:rFonts w:ascii="Helvetica" w:eastAsia="Times New Roman" w:hAnsi="Helvetica" w:cs="Helvetica"/>
          <w:color w:val="333333"/>
          <w:sz w:val="20"/>
          <w:szCs w:val="20"/>
        </w:rPr>
        <w:t>October 1, 2017   </w:t>
      </w:r>
    </w:p>
    <w:p w:rsidR="00837990" w:rsidRPr="00837990" w:rsidRDefault="00837990" w:rsidP="00837990">
      <w:pPr>
        <w:shd w:val="clear" w:color="auto" w:fill="FFFFFF"/>
        <w:spacing w:after="0" w:line="240" w:lineRule="auto"/>
        <w:rPr>
          <w:rFonts w:ascii="Helvetica" w:eastAsia="Times New Roman" w:hAnsi="Helvetica" w:cs="Helvetica"/>
          <w:color w:val="333333"/>
          <w:sz w:val="20"/>
          <w:szCs w:val="20"/>
        </w:rPr>
      </w:pPr>
      <w:r w:rsidRPr="00837990">
        <w:rPr>
          <w:rFonts w:ascii="Helvetica" w:eastAsia="Times New Roman" w:hAnsi="Helvetica" w:cs="Helvetica"/>
          <w:color w:val="993366"/>
          <w:sz w:val="36"/>
          <w:szCs w:val="36"/>
        </w:rPr>
        <w:t>Related Announcements</w:t>
      </w:r>
      <w:r w:rsidRPr="00837990">
        <w:rPr>
          <w:rFonts w:ascii="Helvetica" w:eastAsia="Times New Roman" w:hAnsi="Helvetica" w:cs="Helvetica"/>
          <w:color w:val="333333"/>
          <w:sz w:val="20"/>
          <w:szCs w:val="20"/>
        </w:rPr>
        <w:br/>
        <w:t>None</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993366"/>
          <w:sz w:val="36"/>
          <w:szCs w:val="36"/>
        </w:rPr>
        <w:t>Issued by</w:t>
      </w:r>
      <w:r w:rsidRPr="00837990">
        <w:rPr>
          <w:rFonts w:ascii="Helvetica" w:eastAsia="Times New Roman" w:hAnsi="Helvetica" w:cs="Helvetica"/>
          <w:color w:val="333333"/>
          <w:sz w:val="20"/>
          <w:szCs w:val="20"/>
        </w:rPr>
        <w:br/>
        <w:t>National Institutes of Health (</w:t>
      </w:r>
      <w:hyperlink r:id="rId5" w:history="1">
        <w:r w:rsidRPr="00837990">
          <w:rPr>
            <w:rFonts w:ascii="Helvetica" w:eastAsia="Times New Roman" w:hAnsi="Helvetica" w:cs="Helvetica"/>
            <w:color w:val="428BCA"/>
            <w:sz w:val="20"/>
            <w:szCs w:val="20"/>
          </w:rPr>
          <w:t>NIH</w:t>
        </w:r>
      </w:hyperlink>
      <w:r w:rsidRPr="00837990">
        <w:rPr>
          <w:rFonts w:ascii="Helvetica" w:eastAsia="Times New Roman" w:hAnsi="Helvetica" w:cs="Helvetica"/>
          <w:color w:val="333333"/>
          <w:sz w:val="20"/>
          <w:szCs w:val="20"/>
        </w:rPr>
        <w:t>)</w:t>
      </w:r>
    </w:p>
    <w:p w:rsidR="00837990" w:rsidRPr="00837990" w:rsidRDefault="00837990" w:rsidP="00837990">
      <w:pPr>
        <w:shd w:val="clear" w:color="auto" w:fill="FFFFFF"/>
        <w:spacing w:after="150" w:line="240" w:lineRule="auto"/>
        <w:rPr>
          <w:rFonts w:ascii="Helvetica" w:eastAsia="Times New Roman" w:hAnsi="Helvetica" w:cs="Helvetica"/>
          <w:color w:val="993366"/>
          <w:sz w:val="36"/>
          <w:szCs w:val="36"/>
        </w:rPr>
      </w:pPr>
      <w:r w:rsidRPr="00837990">
        <w:rPr>
          <w:rFonts w:ascii="Helvetica" w:eastAsia="Times New Roman" w:hAnsi="Helvetica" w:cs="Helvetica"/>
          <w:color w:val="993366"/>
          <w:sz w:val="36"/>
          <w:szCs w:val="36"/>
        </w:rPr>
        <w:t>Purpose</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The purpose of this guide notice is to inform the research community that NIH is updating its policy for issuing Certificates of Confidentiality (Certificates) for NIH-funded and conducted research. The update of this Policy comes </w:t>
      </w:r>
      <w:proofErr w:type="gramStart"/>
      <w:r w:rsidRPr="00837990">
        <w:rPr>
          <w:rFonts w:ascii="Helvetica" w:eastAsia="Times New Roman" w:hAnsi="Helvetica" w:cs="Helvetica"/>
          <w:color w:val="333333"/>
          <w:sz w:val="20"/>
          <w:szCs w:val="20"/>
        </w:rPr>
        <w:t>as a result</w:t>
      </w:r>
      <w:proofErr w:type="gramEnd"/>
      <w:r w:rsidRPr="00837990">
        <w:rPr>
          <w:rFonts w:ascii="Helvetica" w:eastAsia="Times New Roman" w:hAnsi="Helvetica" w:cs="Helvetica"/>
          <w:color w:val="333333"/>
          <w:sz w:val="20"/>
          <w:szCs w:val="20"/>
        </w:rPr>
        <w:t xml:space="preserve"> of the need to implement Section 2012 of the 21st Century Cures Act, P.L. 114-255, which states that the Secretary, HHS shall issue Certificates of Confidentiality to persons engaged in biomedical, behavioral, clinical or other research, in which identifiable, sensitive information is collected.  These Certificates protect the privacy of subjects by limiting the disclosure of identifiable, sensitive information.</w:t>
      </w:r>
    </w:p>
    <w:p w:rsidR="00837990" w:rsidRPr="00837990" w:rsidRDefault="00837990" w:rsidP="00837990">
      <w:pPr>
        <w:shd w:val="clear" w:color="auto" w:fill="FFFFFF"/>
        <w:spacing w:after="150" w:line="240" w:lineRule="auto"/>
        <w:rPr>
          <w:rFonts w:ascii="Helvetica" w:eastAsia="Times New Roman" w:hAnsi="Helvetica" w:cs="Helvetica"/>
          <w:color w:val="993366"/>
          <w:sz w:val="36"/>
          <w:szCs w:val="36"/>
        </w:rPr>
      </w:pPr>
      <w:r w:rsidRPr="00837990">
        <w:rPr>
          <w:rFonts w:ascii="Helvetica" w:eastAsia="Times New Roman" w:hAnsi="Helvetica" w:cs="Helvetica"/>
          <w:color w:val="993366"/>
          <w:sz w:val="36"/>
          <w:szCs w:val="36"/>
        </w:rPr>
        <w:t>Background</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Section 2012 of the 21st Century Cures Act, enacted December 13, 2016, enacts new provisions governing the authority of the Secretary of Health and Human Services (Secretary) to protect the privacy of individuals who are the subjects of research, including significant amendments to the previous statutory authority for such protections, under subsection 301(d) of the Public Health Service Act.  Specifically, the amended authority requires the Secretary to issue to investigators or institutions engaged in biomedical, behavioral, clinical, or other research in which identifiable, sensitive information is collected (“Covered Information”), a Certificate to protect the privacy of individuals who are subjects of such research, if the research is funded wholly or in part by the Federal Government.  The authority also specifies the prohibitions on disclosure of the names of research participants or any information, documents, or </w:t>
      </w:r>
      <w:proofErr w:type="spellStart"/>
      <w:r w:rsidRPr="00837990">
        <w:rPr>
          <w:rFonts w:ascii="Helvetica" w:eastAsia="Times New Roman" w:hAnsi="Helvetica" w:cs="Helvetica"/>
          <w:color w:val="333333"/>
          <w:sz w:val="20"/>
          <w:szCs w:val="20"/>
        </w:rPr>
        <w:t>biospecimens</w:t>
      </w:r>
      <w:proofErr w:type="spellEnd"/>
      <w:r w:rsidRPr="00837990">
        <w:rPr>
          <w:rFonts w:ascii="Helvetica" w:eastAsia="Times New Roman" w:hAnsi="Helvetica" w:cs="Helvetica"/>
          <w:color w:val="333333"/>
          <w:sz w:val="20"/>
          <w:szCs w:val="20"/>
        </w:rPr>
        <w:t xml:space="preserve"> that contain identifiable, sensitive information collected or used in research by an investigator or institution with a Certificate.  If the research </w:t>
      </w:r>
      <w:proofErr w:type="gramStart"/>
      <w:r w:rsidRPr="00837990">
        <w:rPr>
          <w:rFonts w:ascii="Helvetica" w:eastAsia="Times New Roman" w:hAnsi="Helvetica" w:cs="Helvetica"/>
          <w:color w:val="333333"/>
          <w:sz w:val="20"/>
          <w:szCs w:val="20"/>
        </w:rPr>
        <w:t>is not federally funded</w:t>
      </w:r>
      <w:proofErr w:type="gramEnd"/>
      <w:r w:rsidRPr="00837990">
        <w:rPr>
          <w:rFonts w:ascii="Helvetica" w:eastAsia="Times New Roman" w:hAnsi="Helvetica" w:cs="Helvetica"/>
          <w:color w:val="333333"/>
          <w:sz w:val="20"/>
          <w:szCs w:val="20"/>
        </w:rPr>
        <w:t>, the Secretary may issue a Certificate to an investigator or institution engaged in such research, upon application.</w:t>
      </w:r>
    </w:p>
    <w:p w:rsidR="00837990" w:rsidRPr="00837990" w:rsidRDefault="00837990" w:rsidP="00837990">
      <w:pPr>
        <w:shd w:val="clear" w:color="auto" w:fill="FFFFFF"/>
        <w:spacing w:after="150" w:line="240" w:lineRule="auto"/>
        <w:rPr>
          <w:rFonts w:ascii="Helvetica" w:eastAsia="Times New Roman" w:hAnsi="Helvetica" w:cs="Helvetica"/>
          <w:color w:val="993366"/>
          <w:sz w:val="36"/>
          <w:szCs w:val="36"/>
        </w:rPr>
      </w:pPr>
      <w:r w:rsidRPr="00837990">
        <w:rPr>
          <w:rFonts w:ascii="Helvetica" w:eastAsia="Times New Roman" w:hAnsi="Helvetica" w:cs="Helvetica"/>
          <w:color w:val="993366"/>
          <w:sz w:val="36"/>
          <w:szCs w:val="36"/>
        </w:rPr>
        <w:t>Scope and Applicability</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This Policy applies to all biomedical, behavioral, clinical, or other research funded wholly or in part by the NIH, whether supported through grants, cooperative agreements, contracts, other transaction awards, or conducted by the NIH Intramural Research Program, that collects or uses identifiable, sensitive information. For the purposes of this Policy, consistent with subsection 301(d) of the Public Health Service Act (42 U.S.C 241), the term “identifiable, sensitive information” means information about an individual that is gathered or used during the course of biomedical, behavioral, clinical, or other research, where the following may occur:</w:t>
      </w:r>
    </w:p>
    <w:p w:rsidR="00837990" w:rsidRPr="00837990" w:rsidRDefault="00837990" w:rsidP="00837990">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lastRenderedPageBreak/>
        <w:t>An individual is identified; or</w:t>
      </w:r>
    </w:p>
    <w:p w:rsidR="00837990" w:rsidRPr="00837990" w:rsidRDefault="00837990" w:rsidP="00837990">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For which there is at least a very small risk, that some combination of the information, a request for the information, and other available data sources </w:t>
      </w:r>
      <w:proofErr w:type="gramStart"/>
      <w:r w:rsidRPr="00837990">
        <w:rPr>
          <w:rFonts w:ascii="Helvetica" w:eastAsia="Times New Roman" w:hAnsi="Helvetica" w:cs="Helvetica"/>
          <w:color w:val="333333"/>
          <w:sz w:val="20"/>
          <w:szCs w:val="20"/>
        </w:rPr>
        <w:t>could be used</w:t>
      </w:r>
      <w:proofErr w:type="gramEnd"/>
      <w:r w:rsidRPr="00837990">
        <w:rPr>
          <w:rFonts w:ascii="Helvetica" w:eastAsia="Times New Roman" w:hAnsi="Helvetica" w:cs="Helvetica"/>
          <w:color w:val="333333"/>
          <w:sz w:val="20"/>
          <w:szCs w:val="20"/>
        </w:rPr>
        <w:t xml:space="preserve"> to deduce the identity of an individual.</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This Policy also acknowledges that the NIH will continue to consider request for Certificates for non-federally funded research in which identifiable, sensitive information </w:t>
      </w:r>
      <w:proofErr w:type="gramStart"/>
      <w:r w:rsidRPr="00837990">
        <w:rPr>
          <w:rFonts w:ascii="Helvetica" w:eastAsia="Times New Roman" w:hAnsi="Helvetica" w:cs="Helvetica"/>
          <w:color w:val="333333"/>
          <w:sz w:val="20"/>
          <w:szCs w:val="20"/>
        </w:rPr>
        <w:t>is collected or used</w:t>
      </w:r>
      <w:proofErr w:type="gramEnd"/>
      <w:r w:rsidRPr="00837990">
        <w:rPr>
          <w:rFonts w:ascii="Helvetica" w:eastAsia="Times New Roman" w:hAnsi="Helvetica" w:cs="Helvetica"/>
          <w:color w:val="333333"/>
          <w:sz w:val="20"/>
          <w:szCs w:val="20"/>
        </w:rPr>
        <w:t>.</w:t>
      </w:r>
    </w:p>
    <w:p w:rsidR="00837990" w:rsidRPr="00837990" w:rsidRDefault="00837990" w:rsidP="00837990">
      <w:pPr>
        <w:shd w:val="clear" w:color="auto" w:fill="FFFFFF"/>
        <w:spacing w:after="150" w:line="240" w:lineRule="auto"/>
        <w:rPr>
          <w:rFonts w:ascii="Helvetica" w:eastAsia="Times New Roman" w:hAnsi="Helvetica" w:cs="Helvetica"/>
          <w:color w:val="993366"/>
          <w:sz w:val="36"/>
          <w:szCs w:val="36"/>
        </w:rPr>
      </w:pPr>
      <w:r w:rsidRPr="00837990">
        <w:rPr>
          <w:rFonts w:ascii="Helvetica" w:eastAsia="Times New Roman" w:hAnsi="Helvetica" w:cs="Helvetica"/>
          <w:color w:val="993366"/>
          <w:sz w:val="36"/>
          <w:szCs w:val="36"/>
        </w:rPr>
        <w:t>Policy</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proofErr w:type="gramStart"/>
      <w:r w:rsidRPr="00837990">
        <w:rPr>
          <w:rFonts w:ascii="Helvetica" w:eastAsia="Times New Roman" w:hAnsi="Helvetica" w:cs="Helvetica"/>
          <w:color w:val="333333"/>
          <w:sz w:val="20"/>
          <w:szCs w:val="20"/>
        </w:rPr>
        <w:t>Effective October 1, 2017, all research that was commenced or ongoing on or after December 13, 2016 and is within the scope of this Policy is deemed to be issued a Certificate through this Policy and is therefore required to protect the privacy of individuals who are subjects of such research in accordance with subsection 301(d) of the Public Health Service Act.</w:t>
      </w:r>
      <w:proofErr w:type="gramEnd"/>
      <w:r w:rsidRPr="00837990">
        <w:rPr>
          <w:rFonts w:ascii="Helvetica" w:eastAsia="Times New Roman" w:hAnsi="Helvetica" w:cs="Helvetica"/>
          <w:color w:val="333333"/>
          <w:sz w:val="20"/>
          <w:szCs w:val="20"/>
        </w:rPr>
        <w:t xml:space="preserve"> This Policy will be included in the NIH Grants Policy statement as a standard term and condition of award effective October 1, 2017 for new and non-competing awards.  Institutions and their investigators are responsible for determining whether research they conduct is subject to this Policy and therefore issued a Certificate.  Certificates issued in this manner </w:t>
      </w:r>
      <w:proofErr w:type="gramStart"/>
      <w:r w:rsidRPr="00837990">
        <w:rPr>
          <w:rFonts w:ascii="Helvetica" w:eastAsia="Times New Roman" w:hAnsi="Helvetica" w:cs="Helvetica"/>
          <w:color w:val="333333"/>
          <w:sz w:val="20"/>
          <w:szCs w:val="20"/>
        </w:rPr>
        <w:t>will not be issued</w:t>
      </w:r>
      <w:proofErr w:type="gramEnd"/>
      <w:r w:rsidRPr="00837990">
        <w:rPr>
          <w:rFonts w:ascii="Helvetica" w:eastAsia="Times New Roman" w:hAnsi="Helvetica" w:cs="Helvetica"/>
          <w:color w:val="333333"/>
          <w:sz w:val="20"/>
          <w:szCs w:val="20"/>
        </w:rPr>
        <w:t xml:space="preserve"> as a separate document.</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Previously, NIH provided these protections through the issuance of Certificates only upon receipt and approval of an application. However, in order to comply with the requirement in subsection 301(d) of the Public Health Service Act to minimize the burden to researchers, streamline the process, and reduce the time it takes to comply with the requirements associated with applying for a Certificate, NIH will now provide Certificates automatically to any NIH-funded recipients conducting research applicable to this Policy.</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For the purposes of this Policy, NIH considers research in which identifiable, sensitive information </w:t>
      </w:r>
      <w:proofErr w:type="gramStart"/>
      <w:r w:rsidRPr="00837990">
        <w:rPr>
          <w:rFonts w:ascii="Helvetica" w:eastAsia="Times New Roman" w:hAnsi="Helvetica" w:cs="Helvetica"/>
          <w:color w:val="333333"/>
          <w:sz w:val="20"/>
          <w:szCs w:val="20"/>
        </w:rPr>
        <w:t>is collected or used, to include</w:t>
      </w:r>
      <w:proofErr w:type="gramEnd"/>
      <w:r w:rsidRPr="00837990">
        <w:rPr>
          <w:rFonts w:ascii="Helvetica" w:eastAsia="Times New Roman" w:hAnsi="Helvetica" w:cs="Helvetica"/>
          <w:color w:val="333333"/>
          <w:sz w:val="20"/>
          <w:szCs w:val="20"/>
        </w:rPr>
        <w:t>:</w:t>
      </w:r>
    </w:p>
    <w:p w:rsidR="00837990" w:rsidRPr="00837990" w:rsidRDefault="00837990" w:rsidP="00837990">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Human subjects research as defined in the Federal Policy for the Protection of Human Subjects (45 CFR 46), including exempt research except for human subjects research that is determined to be exempt from all or some of the requirements of 45 CFR 46 if the information obtained is recorded in such a manner that human subjects cannot be identified or the identity of the human subjects cannot readily be ascertained, directly or through identifiers linked to the subjects;</w:t>
      </w:r>
    </w:p>
    <w:p w:rsidR="00837990" w:rsidRPr="00837990" w:rsidRDefault="00837990" w:rsidP="00837990">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Research involving the collection or use of </w:t>
      </w:r>
      <w:proofErr w:type="spellStart"/>
      <w:r w:rsidRPr="00837990">
        <w:rPr>
          <w:rFonts w:ascii="Helvetica" w:eastAsia="Times New Roman" w:hAnsi="Helvetica" w:cs="Helvetica"/>
          <w:color w:val="333333"/>
          <w:sz w:val="20"/>
          <w:szCs w:val="20"/>
        </w:rPr>
        <w:t>biospecimens</w:t>
      </w:r>
      <w:proofErr w:type="spellEnd"/>
      <w:r w:rsidRPr="00837990">
        <w:rPr>
          <w:rFonts w:ascii="Helvetica" w:eastAsia="Times New Roman" w:hAnsi="Helvetica" w:cs="Helvetica"/>
          <w:color w:val="333333"/>
          <w:sz w:val="20"/>
          <w:szCs w:val="20"/>
        </w:rPr>
        <w:t xml:space="preserve"> that are identifiable to an individual or for which there is at least a very small risk that some combination of the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a request for the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and other available data sources could be used to deduce the identity of an individual;</w:t>
      </w:r>
    </w:p>
    <w:p w:rsidR="00837990" w:rsidRPr="00837990" w:rsidRDefault="00837990" w:rsidP="00837990">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Research that involves the generation of individual level, human genomic data from </w:t>
      </w:r>
      <w:proofErr w:type="spellStart"/>
      <w:r w:rsidRPr="00837990">
        <w:rPr>
          <w:rFonts w:ascii="Helvetica" w:eastAsia="Times New Roman" w:hAnsi="Helvetica" w:cs="Helvetica"/>
          <w:color w:val="333333"/>
          <w:sz w:val="20"/>
          <w:szCs w:val="20"/>
        </w:rPr>
        <w:t>biospecimens</w:t>
      </w:r>
      <w:proofErr w:type="spellEnd"/>
      <w:r w:rsidRPr="00837990">
        <w:rPr>
          <w:rFonts w:ascii="Helvetica" w:eastAsia="Times New Roman" w:hAnsi="Helvetica" w:cs="Helvetica"/>
          <w:color w:val="333333"/>
          <w:sz w:val="20"/>
          <w:szCs w:val="20"/>
        </w:rPr>
        <w:t>, or the use of such data, regardless of whether the data is recorded in such a manner that human subjects can be identified or the identity of the human subjects can readily be ascertained as defined in the Federal Policy for the Protection of Human Subjects (45 CFR 46); or</w:t>
      </w:r>
    </w:p>
    <w:p w:rsidR="00837990" w:rsidRPr="00837990" w:rsidRDefault="00837990" w:rsidP="00837990">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proofErr w:type="gramStart"/>
      <w:r w:rsidRPr="00837990">
        <w:rPr>
          <w:rFonts w:ascii="Helvetica" w:eastAsia="Times New Roman" w:hAnsi="Helvetica" w:cs="Helvetica"/>
          <w:color w:val="333333"/>
          <w:sz w:val="20"/>
          <w:szCs w:val="20"/>
        </w:rPr>
        <w:t>Any other research that involves information about an individual for which there is at least a very small risk, as determined by current scientific practices or statistical methods, that some combination of the information, a request for the information, and other available data sources could be used to deduce the identity of an individual, as defined in subsection 301(d) of the Public Health Service Act.</w:t>
      </w:r>
      <w:proofErr w:type="gramEnd"/>
    </w:p>
    <w:p w:rsidR="00837990" w:rsidRPr="00837990" w:rsidRDefault="00837990" w:rsidP="00837990">
      <w:pPr>
        <w:shd w:val="clear" w:color="auto" w:fill="FFFFFF"/>
        <w:spacing w:before="150" w:after="150" w:line="240" w:lineRule="auto"/>
        <w:outlineLvl w:val="3"/>
        <w:rPr>
          <w:rFonts w:ascii="Helvetica" w:eastAsia="Times New Roman" w:hAnsi="Helvetica" w:cs="Helvetica"/>
          <w:b/>
          <w:bCs/>
          <w:color w:val="333333"/>
          <w:sz w:val="27"/>
          <w:szCs w:val="27"/>
        </w:rPr>
      </w:pPr>
      <w:r w:rsidRPr="00837990">
        <w:rPr>
          <w:rFonts w:ascii="Helvetica" w:eastAsia="Times New Roman" w:hAnsi="Helvetica" w:cs="Helvetica"/>
          <w:b/>
          <w:bCs/>
          <w:color w:val="333333"/>
          <w:sz w:val="27"/>
          <w:szCs w:val="27"/>
        </w:rPr>
        <w:t>Recipient Responsibilities</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To determine if this Policy applies to research conducted or supported by NIH, investigators will need to ask, and answer the following question:</w:t>
      </w:r>
    </w:p>
    <w:p w:rsidR="00837990" w:rsidRPr="00837990" w:rsidRDefault="00837990" w:rsidP="00837990">
      <w:pPr>
        <w:numPr>
          <w:ilvl w:val="0"/>
          <w:numId w:val="7"/>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lastRenderedPageBreak/>
        <w:t>Is the activity biomedical, behavioral, clinical, or other research?</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If the answer to this question is no, then the activity is not issued a Certificate. If the answer is yes, then investigators will need to answer the following questions:</w:t>
      </w:r>
    </w:p>
    <w:p w:rsidR="00837990" w:rsidRPr="00837990" w:rsidRDefault="00837990" w:rsidP="00837990">
      <w:pPr>
        <w:numPr>
          <w:ilvl w:val="0"/>
          <w:numId w:val="8"/>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Does the research involve Human Subjects as defined by 45 CFR Part 46?</w:t>
      </w:r>
    </w:p>
    <w:p w:rsidR="00837990" w:rsidRPr="00837990" w:rsidRDefault="00837990" w:rsidP="00837990">
      <w:pPr>
        <w:numPr>
          <w:ilvl w:val="0"/>
          <w:numId w:val="9"/>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Are you collecting or using </w:t>
      </w:r>
      <w:proofErr w:type="spellStart"/>
      <w:r w:rsidRPr="00837990">
        <w:rPr>
          <w:rFonts w:ascii="Helvetica" w:eastAsia="Times New Roman" w:hAnsi="Helvetica" w:cs="Helvetica"/>
          <w:color w:val="333333"/>
          <w:sz w:val="20"/>
          <w:szCs w:val="20"/>
        </w:rPr>
        <w:t>biospecimens</w:t>
      </w:r>
      <w:proofErr w:type="spellEnd"/>
      <w:r w:rsidRPr="00837990">
        <w:rPr>
          <w:rFonts w:ascii="Helvetica" w:eastAsia="Times New Roman" w:hAnsi="Helvetica" w:cs="Helvetica"/>
          <w:color w:val="333333"/>
          <w:sz w:val="20"/>
          <w:szCs w:val="20"/>
        </w:rPr>
        <w:t xml:space="preserve"> that are identifiable to an individual as part of the research?</w:t>
      </w:r>
    </w:p>
    <w:p w:rsidR="00837990" w:rsidRPr="00837990" w:rsidRDefault="00837990" w:rsidP="00837990">
      <w:pPr>
        <w:numPr>
          <w:ilvl w:val="0"/>
          <w:numId w:val="10"/>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If collecting or using </w:t>
      </w:r>
      <w:proofErr w:type="spellStart"/>
      <w:r w:rsidRPr="00837990">
        <w:rPr>
          <w:rFonts w:ascii="Helvetica" w:eastAsia="Times New Roman" w:hAnsi="Helvetica" w:cs="Helvetica"/>
          <w:color w:val="333333"/>
          <w:sz w:val="20"/>
          <w:szCs w:val="20"/>
        </w:rPr>
        <w:t>biospecimens</w:t>
      </w:r>
      <w:proofErr w:type="spellEnd"/>
      <w:r w:rsidRPr="00837990">
        <w:rPr>
          <w:rFonts w:ascii="Helvetica" w:eastAsia="Times New Roman" w:hAnsi="Helvetica" w:cs="Helvetica"/>
          <w:color w:val="333333"/>
          <w:sz w:val="20"/>
          <w:szCs w:val="20"/>
        </w:rPr>
        <w:t xml:space="preserve"> as part of the research, is there a </w:t>
      </w:r>
      <w:proofErr w:type="gramStart"/>
      <w:r w:rsidRPr="00837990">
        <w:rPr>
          <w:rFonts w:ascii="Helvetica" w:eastAsia="Times New Roman" w:hAnsi="Helvetica" w:cs="Helvetica"/>
          <w:color w:val="333333"/>
          <w:sz w:val="20"/>
          <w:szCs w:val="20"/>
        </w:rPr>
        <w:t>small</w:t>
      </w:r>
      <w:proofErr w:type="gramEnd"/>
      <w:r w:rsidRPr="00837990">
        <w:rPr>
          <w:rFonts w:ascii="Helvetica" w:eastAsia="Times New Roman" w:hAnsi="Helvetica" w:cs="Helvetica"/>
          <w:color w:val="333333"/>
          <w:sz w:val="20"/>
          <w:szCs w:val="20"/>
        </w:rPr>
        <w:t xml:space="preserve"> risk that some combination of the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a request for the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and other available data sources could be used to deduce the identity of an individual?</w:t>
      </w:r>
    </w:p>
    <w:p w:rsidR="00837990" w:rsidRPr="00837990" w:rsidRDefault="00837990" w:rsidP="00837990">
      <w:pPr>
        <w:numPr>
          <w:ilvl w:val="0"/>
          <w:numId w:val="11"/>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Does the research involve the generation of individual level, human genomic data?</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If the answer to any one of these questions is yes, then this Policy will apply to the research and therefore, in accordance with subsection 301(d) of the Public Health Service Act, the recipient of the Certificate shall not:</w:t>
      </w:r>
    </w:p>
    <w:p w:rsidR="00837990" w:rsidRPr="00837990" w:rsidRDefault="00837990" w:rsidP="00837990">
      <w:pPr>
        <w:numPr>
          <w:ilvl w:val="0"/>
          <w:numId w:val="12"/>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Disclose or provide, in any Federal, State, or local civil, criminal, administrative, legislative, or other proceeding, the name of such individual or any such information, document, or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that contains identifiable, sensitive information about the individual and that was created or compiled for purposes of the research, unless such disclosure or use is made with the consent of the individual to whom the information, document, or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pertains; or</w:t>
      </w:r>
    </w:p>
    <w:p w:rsidR="00837990" w:rsidRPr="00837990" w:rsidRDefault="00837990" w:rsidP="00837990">
      <w:pPr>
        <w:numPr>
          <w:ilvl w:val="0"/>
          <w:numId w:val="13"/>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Disclose or provide to any other person not connected with the research the name of such an individual or any information, document, or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that contains identifiable, sensitive information about such an individual and that </w:t>
      </w:r>
      <w:proofErr w:type="gramStart"/>
      <w:r w:rsidRPr="00837990">
        <w:rPr>
          <w:rFonts w:ascii="Helvetica" w:eastAsia="Times New Roman" w:hAnsi="Helvetica" w:cs="Helvetica"/>
          <w:color w:val="333333"/>
          <w:sz w:val="20"/>
          <w:szCs w:val="20"/>
        </w:rPr>
        <w:t>was created or compiled for purposes of the research</w:t>
      </w:r>
      <w:proofErr w:type="gramEnd"/>
      <w:r w:rsidRPr="00837990">
        <w:rPr>
          <w:rFonts w:ascii="Helvetica" w:eastAsia="Times New Roman" w:hAnsi="Helvetica" w:cs="Helvetica"/>
          <w:color w:val="333333"/>
          <w:sz w:val="20"/>
          <w:szCs w:val="20"/>
        </w:rPr>
        <w:t>.</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Disclosure </w:t>
      </w:r>
      <w:proofErr w:type="gramStart"/>
      <w:r w:rsidRPr="00837990">
        <w:rPr>
          <w:rFonts w:ascii="Helvetica" w:eastAsia="Times New Roman" w:hAnsi="Helvetica" w:cs="Helvetica"/>
          <w:color w:val="333333"/>
          <w:sz w:val="20"/>
          <w:szCs w:val="20"/>
        </w:rPr>
        <w:t>is permitted</w:t>
      </w:r>
      <w:proofErr w:type="gramEnd"/>
      <w:r w:rsidRPr="00837990">
        <w:rPr>
          <w:rFonts w:ascii="Helvetica" w:eastAsia="Times New Roman" w:hAnsi="Helvetica" w:cs="Helvetica"/>
          <w:color w:val="333333"/>
          <w:sz w:val="20"/>
          <w:szCs w:val="20"/>
        </w:rPr>
        <w:t xml:space="preserve"> only when:</w:t>
      </w:r>
    </w:p>
    <w:p w:rsidR="00837990" w:rsidRPr="00837990" w:rsidRDefault="00837990" w:rsidP="00837990">
      <w:pPr>
        <w:numPr>
          <w:ilvl w:val="0"/>
          <w:numId w:val="14"/>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00837990" w:rsidRPr="00837990" w:rsidRDefault="00837990" w:rsidP="00837990">
      <w:pPr>
        <w:numPr>
          <w:ilvl w:val="0"/>
          <w:numId w:val="15"/>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Necessary for the medical treatment of the individual to whom the information, document, or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pertains and made with the consent of such individual;</w:t>
      </w:r>
    </w:p>
    <w:p w:rsidR="00837990" w:rsidRPr="00837990" w:rsidRDefault="00837990" w:rsidP="00837990">
      <w:pPr>
        <w:numPr>
          <w:ilvl w:val="0"/>
          <w:numId w:val="16"/>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Made with the consent of the individual to whom the information, document, or </w:t>
      </w:r>
      <w:proofErr w:type="spellStart"/>
      <w:r w:rsidRPr="00837990">
        <w:rPr>
          <w:rFonts w:ascii="Helvetica" w:eastAsia="Times New Roman" w:hAnsi="Helvetica" w:cs="Helvetica"/>
          <w:color w:val="333333"/>
          <w:sz w:val="20"/>
          <w:szCs w:val="20"/>
        </w:rPr>
        <w:t>biospecimen</w:t>
      </w:r>
      <w:proofErr w:type="spellEnd"/>
      <w:r w:rsidRPr="00837990">
        <w:rPr>
          <w:rFonts w:ascii="Helvetica" w:eastAsia="Times New Roman" w:hAnsi="Helvetica" w:cs="Helvetica"/>
          <w:color w:val="333333"/>
          <w:sz w:val="20"/>
          <w:szCs w:val="20"/>
        </w:rPr>
        <w:t xml:space="preserve"> pertains; or</w:t>
      </w:r>
    </w:p>
    <w:p w:rsidR="00837990" w:rsidRPr="00837990" w:rsidRDefault="00837990" w:rsidP="00837990">
      <w:pPr>
        <w:numPr>
          <w:ilvl w:val="0"/>
          <w:numId w:val="17"/>
        </w:numPr>
        <w:shd w:val="clear" w:color="auto" w:fill="FFFFFF"/>
        <w:spacing w:before="100" w:beforeAutospacing="1" w:after="100" w:afterAutospacing="1" w:line="240" w:lineRule="auto"/>
        <w:ind w:left="495"/>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Made for the purposes of other scientific research that </w:t>
      </w:r>
      <w:proofErr w:type="gramStart"/>
      <w:r w:rsidRPr="00837990">
        <w:rPr>
          <w:rFonts w:ascii="Helvetica" w:eastAsia="Times New Roman" w:hAnsi="Helvetica" w:cs="Helvetica"/>
          <w:color w:val="333333"/>
          <w:sz w:val="20"/>
          <w:szCs w:val="20"/>
        </w:rPr>
        <w:t>is in compliance</w:t>
      </w:r>
      <w:proofErr w:type="gramEnd"/>
      <w:r w:rsidRPr="00837990">
        <w:rPr>
          <w:rFonts w:ascii="Helvetica" w:eastAsia="Times New Roman" w:hAnsi="Helvetica" w:cs="Helvetica"/>
          <w:color w:val="333333"/>
          <w:sz w:val="20"/>
          <w:szCs w:val="20"/>
        </w:rPr>
        <w:t xml:space="preserve"> with applicable Federal regulations governing the protection of human subjects in research.</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As set forth in </w:t>
      </w:r>
      <w:hyperlink r:id="rId6" w:history="1">
        <w:r w:rsidRPr="00837990">
          <w:rPr>
            <w:rFonts w:ascii="Helvetica" w:eastAsia="Times New Roman" w:hAnsi="Helvetica" w:cs="Helvetica"/>
            <w:color w:val="428BCA"/>
            <w:sz w:val="20"/>
            <w:szCs w:val="20"/>
          </w:rPr>
          <w:t>45 CFR Part 75.303(a)</w:t>
        </w:r>
      </w:hyperlink>
      <w:r w:rsidRPr="00837990">
        <w:rPr>
          <w:rFonts w:ascii="Helvetica" w:eastAsia="Times New Roman" w:hAnsi="Helvetica" w:cs="Helvetica"/>
          <w:color w:val="333333"/>
          <w:sz w:val="20"/>
          <w:szCs w:val="20"/>
        </w:rPr>
        <w:t> and </w:t>
      </w:r>
      <w:hyperlink r:id="rId7" w:history="1">
        <w:r w:rsidRPr="00837990">
          <w:rPr>
            <w:rFonts w:ascii="Helvetica" w:eastAsia="Times New Roman" w:hAnsi="Helvetica" w:cs="Helvetica"/>
            <w:color w:val="428BCA"/>
            <w:sz w:val="20"/>
            <w:szCs w:val="20"/>
          </w:rPr>
          <w:t>NIHGPS Chapter 8.3</w:t>
        </w:r>
      </w:hyperlink>
      <w:r w:rsidRPr="00837990">
        <w:rPr>
          <w:rFonts w:ascii="Helvetica" w:eastAsia="Times New Roman" w:hAnsi="Helvetica" w:cs="Helvetica"/>
          <w:color w:val="333333"/>
          <w:sz w:val="20"/>
          <w:szCs w:val="20"/>
        </w:rPr>
        <w:t>, recipients conducting NIH supported research applicable to this Policy are required to establish and maintain effective internal controls (e.g., policies and procedures) that provide reasonable assurance that the award is managed in compliance with Federal statutes, regulations, and the terms and conditions of award.</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Recipients of Certificates are required to ensure that any investigator or institution not funded by NIH who receives a copy of identifiable, sensitive information protected by a Certificate issued by this Policy, </w:t>
      </w:r>
      <w:r w:rsidRPr="00837990">
        <w:rPr>
          <w:rFonts w:ascii="Helvetica" w:eastAsia="Times New Roman" w:hAnsi="Helvetica" w:cs="Helvetica"/>
          <w:color w:val="333333"/>
          <w:sz w:val="20"/>
          <w:szCs w:val="20"/>
        </w:rPr>
        <w:lastRenderedPageBreak/>
        <w:t>understand they are also subject to the requirements of subsection 301(d) of the Public Health Service Act.  In accordance with </w:t>
      </w:r>
      <w:hyperlink r:id="rId8" w:history="1">
        <w:r w:rsidRPr="00837990">
          <w:rPr>
            <w:rFonts w:ascii="Helvetica" w:eastAsia="Times New Roman" w:hAnsi="Helvetica" w:cs="Helvetica"/>
            <w:color w:val="428BCA"/>
            <w:sz w:val="20"/>
            <w:szCs w:val="20"/>
          </w:rPr>
          <w:t>NIHGPS Chapter 15.2.1</w:t>
        </w:r>
      </w:hyperlink>
      <w:r w:rsidRPr="00837990">
        <w:rPr>
          <w:rFonts w:ascii="Helvetica" w:eastAsia="Times New Roman" w:hAnsi="Helvetica" w:cs="Helvetica"/>
          <w:color w:val="333333"/>
          <w:sz w:val="20"/>
          <w:szCs w:val="20"/>
        </w:rPr>
        <w:t xml:space="preserve">, recipients are also responsible for ensuring that any </w:t>
      </w:r>
      <w:proofErr w:type="spellStart"/>
      <w:r w:rsidRPr="00837990">
        <w:rPr>
          <w:rFonts w:ascii="Helvetica" w:eastAsia="Times New Roman" w:hAnsi="Helvetica" w:cs="Helvetica"/>
          <w:color w:val="333333"/>
          <w:sz w:val="20"/>
          <w:szCs w:val="20"/>
        </w:rPr>
        <w:t>subrecipient</w:t>
      </w:r>
      <w:proofErr w:type="spellEnd"/>
      <w:r w:rsidRPr="00837990">
        <w:rPr>
          <w:rFonts w:ascii="Helvetica" w:eastAsia="Times New Roman" w:hAnsi="Helvetica" w:cs="Helvetica"/>
          <w:color w:val="333333"/>
          <w:sz w:val="20"/>
          <w:szCs w:val="20"/>
        </w:rPr>
        <w:t xml:space="preserve"> that receives funds to carry out part of the NIH award involving a copy of identifiable, sensitive information protected by a Certificate issued by this Policy understand they are also subject to subsection 301(d) of the Public Health Service Act.</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 xml:space="preserve">For studies in which informed consent </w:t>
      </w:r>
      <w:proofErr w:type="gramStart"/>
      <w:r w:rsidRPr="00837990">
        <w:rPr>
          <w:rFonts w:ascii="Helvetica" w:eastAsia="Times New Roman" w:hAnsi="Helvetica" w:cs="Helvetica"/>
          <w:color w:val="333333"/>
          <w:sz w:val="20"/>
          <w:szCs w:val="20"/>
        </w:rPr>
        <w:t>is sought</w:t>
      </w:r>
      <w:proofErr w:type="gramEnd"/>
      <w:r w:rsidRPr="00837990">
        <w:rPr>
          <w:rFonts w:ascii="Helvetica" w:eastAsia="Times New Roman" w:hAnsi="Helvetica" w:cs="Helvetica"/>
          <w:color w:val="333333"/>
          <w:sz w:val="20"/>
          <w:szCs w:val="20"/>
        </w:rPr>
        <w:t>, NIH expects investigators to inform research participants of the protections and the limits to protections provided by a Certificate issued by this Policy.</w:t>
      </w:r>
    </w:p>
    <w:p w:rsidR="00837990" w:rsidRPr="00837990" w:rsidRDefault="00837990" w:rsidP="00837990">
      <w:pPr>
        <w:shd w:val="clear" w:color="auto" w:fill="FFFFFF"/>
        <w:spacing w:before="150" w:after="150" w:line="240" w:lineRule="auto"/>
        <w:outlineLvl w:val="3"/>
        <w:rPr>
          <w:rFonts w:ascii="Helvetica" w:eastAsia="Times New Roman" w:hAnsi="Helvetica" w:cs="Helvetica"/>
          <w:b/>
          <w:bCs/>
          <w:color w:val="333333"/>
          <w:sz w:val="27"/>
          <w:szCs w:val="27"/>
        </w:rPr>
      </w:pPr>
      <w:r w:rsidRPr="00837990">
        <w:rPr>
          <w:rFonts w:ascii="Helvetica" w:eastAsia="Times New Roman" w:hAnsi="Helvetica" w:cs="Helvetica"/>
          <w:b/>
          <w:bCs/>
          <w:color w:val="333333"/>
          <w:sz w:val="27"/>
          <w:szCs w:val="27"/>
        </w:rPr>
        <w:t>Non-Federally Funded Research</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As noted within the “Scope and Applicability” section of this guide notice, for non-federally funded research, the NIH will continue to consider requests for Certificates for specific projects in accordance with the current NIH policy for issuing Certificates.</w:t>
      </w:r>
    </w:p>
    <w:p w:rsidR="00837990" w:rsidRPr="00837990" w:rsidRDefault="00837990" w:rsidP="00837990">
      <w:pPr>
        <w:shd w:val="clear" w:color="auto" w:fill="FFFFFF"/>
        <w:spacing w:before="150" w:after="150" w:line="240" w:lineRule="auto"/>
        <w:outlineLvl w:val="3"/>
        <w:rPr>
          <w:rFonts w:ascii="Helvetica" w:eastAsia="Times New Roman" w:hAnsi="Helvetica" w:cs="Helvetica"/>
          <w:b/>
          <w:bCs/>
          <w:color w:val="333333"/>
          <w:sz w:val="27"/>
          <w:szCs w:val="27"/>
        </w:rPr>
      </w:pPr>
      <w:r w:rsidRPr="00837990">
        <w:rPr>
          <w:rFonts w:ascii="Helvetica" w:eastAsia="Times New Roman" w:hAnsi="Helvetica" w:cs="Helvetica"/>
          <w:b/>
          <w:bCs/>
          <w:color w:val="333333"/>
          <w:sz w:val="27"/>
          <w:szCs w:val="27"/>
        </w:rPr>
        <w:t>Resources</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Additional information such as FAQs will be available at the NIH Certificates of Confidentiality website at </w:t>
      </w:r>
      <w:hyperlink r:id="rId9" w:history="1">
        <w:r w:rsidRPr="00837990">
          <w:rPr>
            <w:rFonts w:ascii="Helvetica" w:eastAsia="Times New Roman" w:hAnsi="Helvetica" w:cs="Helvetica"/>
            <w:color w:val="428BCA"/>
            <w:sz w:val="20"/>
            <w:szCs w:val="20"/>
          </w:rPr>
          <w:t>https://humansubjects.nih.gov/coc/index</w:t>
        </w:r>
      </w:hyperlink>
      <w:r w:rsidRPr="00837990">
        <w:rPr>
          <w:rFonts w:ascii="Helvetica" w:eastAsia="Times New Roman" w:hAnsi="Helvetica" w:cs="Helvetica"/>
          <w:color w:val="333333"/>
          <w:sz w:val="20"/>
          <w:szCs w:val="20"/>
        </w:rPr>
        <w:t>.</w:t>
      </w:r>
    </w:p>
    <w:p w:rsidR="00837990" w:rsidRPr="00837990" w:rsidRDefault="00837990" w:rsidP="00837990">
      <w:pPr>
        <w:shd w:val="clear" w:color="auto" w:fill="FFFFFF"/>
        <w:spacing w:after="150" w:line="240" w:lineRule="auto"/>
        <w:rPr>
          <w:rFonts w:ascii="Helvetica" w:eastAsia="Times New Roman" w:hAnsi="Helvetica" w:cs="Helvetica"/>
          <w:color w:val="993366"/>
          <w:sz w:val="36"/>
          <w:szCs w:val="36"/>
        </w:rPr>
      </w:pPr>
      <w:r w:rsidRPr="00837990">
        <w:rPr>
          <w:rFonts w:ascii="Helvetica" w:eastAsia="Times New Roman" w:hAnsi="Helvetica" w:cs="Helvetica"/>
          <w:color w:val="993366"/>
          <w:sz w:val="36"/>
          <w:szCs w:val="36"/>
        </w:rPr>
        <w:t>Inquiries</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Please direct all inquiries to:</w:t>
      </w:r>
    </w:p>
    <w:p w:rsidR="00837990" w:rsidRPr="00837990" w:rsidRDefault="00837990" w:rsidP="00837990">
      <w:pPr>
        <w:shd w:val="clear" w:color="auto" w:fill="FFFFFF"/>
        <w:spacing w:after="15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Office of Extramural Research</w:t>
      </w:r>
      <w:r w:rsidRPr="00837990">
        <w:rPr>
          <w:rFonts w:ascii="Helvetica" w:eastAsia="Times New Roman" w:hAnsi="Helvetica" w:cs="Helvetica"/>
          <w:color w:val="333333"/>
          <w:sz w:val="20"/>
          <w:szCs w:val="20"/>
        </w:rPr>
        <w:br/>
        <w:t>Email: </w:t>
      </w:r>
      <w:hyperlink r:id="rId10" w:history="1">
        <w:r w:rsidRPr="00837990">
          <w:rPr>
            <w:rFonts w:ascii="Helvetica" w:eastAsia="Times New Roman" w:hAnsi="Helvetica" w:cs="Helvetica"/>
            <w:color w:val="428BCA"/>
            <w:sz w:val="20"/>
            <w:szCs w:val="20"/>
          </w:rPr>
          <w:t>NIH-CoC-Coordinator@mail.nih.gov</w:t>
        </w:r>
      </w:hyperlink>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pict>
          <v:rect id="_x0000_i1026" style="width:0;height:0" o:hralign="center" o:hrstd="t" o:hr="t" fillcolor="#a0a0a0" stroked="f"/>
        </w:pict>
      </w:r>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hyperlink r:id="rId11" w:history="1">
        <w:r w:rsidRPr="00837990">
          <w:rPr>
            <w:rFonts w:ascii="Helvetica" w:eastAsia="Times New Roman" w:hAnsi="Helvetica" w:cs="Helvetica"/>
            <w:color w:val="428BCA"/>
            <w:sz w:val="20"/>
            <w:szCs w:val="20"/>
          </w:rPr>
          <w:t>Weekly TOC for this Announcement</w:t>
        </w:r>
      </w:hyperlink>
      <w:r w:rsidRPr="00837990">
        <w:rPr>
          <w:rFonts w:ascii="Helvetica" w:eastAsia="Times New Roman" w:hAnsi="Helvetica" w:cs="Helvetica"/>
          <w:color w:val="333333"/>
          <w:sz w:val="20"/>
          <w:szCs w:val="20"/>
        </w:rPr>
        <w:br/>
      </w:r>
      <w:hyperlink r:id="rId12" w:history="1">
        <w:r w:rsidRPr="00837990">
          <w:rPr>
            <w:rFonts w:ascii="Helvetica" w:eastAsia="Times New Roman" w:hAnsi="Helvetica" w:cs="Helvetica"/>
            <w:color w:val="428BCA"/>
            <w:sz w:val="20"/>
            <w:szCs w:val="20"/>
          </w:rPr>
          <w:t>NIH Funding Opportunities and Notices</w:t>
        </w:r>
      </w:hyperlink>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pict>
          <v:rect id="_x0000_i1027" style="width:0;height:0" o:hralign="center" o:hrstd="t" o:hr="t" fillcolor="#a0a0a0" stroked="f"/>
        </w:pict>
      </w:r>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noProof/>
          <w:color w:val="428BCA"/>
          <w:sz w:val="20"/>
          <w:szCs w:val="20"/>
        </w:rPr>
        <w:drawing>
          <wp:inline distT="0" distB="0" distL="0" distR="0" wp14:anchorId="74C1A1D2" wp14:editId="4748D09B">
            <wp:extent cx="3286125" cy="571500"/>
            <wp:effectExtent l="0" t="0" r="9525" b="0"/>
            <wp:docPr id="10" name="Picture 10" descr="NIH Office of Extramural Research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IH Office of Extramural Research 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571500"/>
                    </a:xfrm>
                    <a:prstGeom prst="rect">
                      <a:avLst/>
                    </a:prstGeom>
                    <a:noFill/>
                    <a:ln>
                      <a:noFill/>
                    </a:ln>
                  </pic:spPr>
                </pic:pic>
              </a:graphicData>
            </a:graphic>
          </wp:inline>
        </w:drawing>
      </w:r>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noProof/>
          <w:color w:val="428BCA"/>
          <w:sz w:val="20"/>
          <w:szCs w:val="20"/>
        </w:rPr>
        <w:drawing>
          <wp:inline distT="0" distB="0" distL="0" distR="0" wp14:anchorId="4369E59B" wp14:editId="53414C3D">
            <wp:extent cx="342900" cy="352425"/>
            <wp:effectExtent l="0" t="0" r="0" b="9525"/>
            <wp:docPr id="11" name="Picture 11" descr="Department of Health and Human Services (HHS) - Home 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artment of Health and Human Services (HHS) - Home P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p w:rsidR="00837990" w:rsidRPr="00837990" w:rsidRDefault="00837990" w:rsidP="00837990">
      <w:pPr>
        <w:shd w:val="clear" w:color="auto" w:fill="FFFFFF"/>
        <w:spacing w:before="300" w:after="300" w:line="240" w:lineRule="auto"/>
        <w:rPr>
          <w:rFonts w:ascii="Helvetica" w:eastAsia="Times New Roman" w:hAnsi="Helvetica" w:cs="Helvetica"/>
          <w:color w:val="333333"/>
          <w:sz w:val="20"/>
          <w:szCs w:val="20"/>
        </w:rPr>
      </w:pPr>
      <w:r w:rsidRPr="00837990">
        <w:rPr>
          <w:rFonts w:ascii="Helvetica" w:eastAsia="Times New Roman" w:hAnsi="Helvetica" w:cs="Helvetica"/>
          <w:color w:val="333333"/>
          <w:sz w:val="20"/>
          <w:szCs w:val="20"/>
        </w:rPr>
        <w:t>Department of Health</w:t>
      </w:r>
      <w:r w:rsidRPr="00837990">
        <w:rPr>
          <w:rFonts w:ascii="Helvetica" w:eastAsia="Times New Roman" w:hAnsi="Helvetica" w:cs="Helvetica"/>
          <w:color w:val="333333"/>
          <w:sz w:val="20"/>
          <w:szCs w:val="20"/>
        </w:rPr>
        <w:br/>
        <w:t>and Human Services (HHS)</w:t>
      </w:r>
    </w:p>
    <w:p w:rsidR="00837990" w:rsidRPr="00837990" w:rsidRDefault="00837990" w:rsidP="00837990">
      <w:pPr>
        <w:shd w:val="clear" w:color="auto" w:fill="FFFFFF"/>
        <w:spacing w:before="300" w:after="300" w:line="240" w:lineRule="auto"/>
        <w:jc w:val="center"/>
        <w:rPr>
          <w:rFonts w:ascii="Helvetica" w:eastAsia="Times New Roman" w:hAnsi="Helvetica" w:cs="Helvetica"/>
          <w:color w:val="333333"/>
          <w:sz w:val="20"/>
          <w:szCs w:val="20"/>
        </w:rPr>
      </w:pPr>
      <w:r w:rsidRPr="00837990">
        <w:rPr>
          <w:rFonts w:ascii="Helvetica" w:eastAsia="Times New Roman" w:hAnsi="Helvetica" w:cs="Helvetica"/>
          <w:noProof/>
          <w:color w:val="428BCA"/>
          <w:sz w:val="20"/>
          <w:szCs w:val="20"/>
        </w:rPr>
        <w:drawing>
          <wp:inline distT="0" distB="0" distL="0" distR="0" wp14:anchorId="509A4FF0" wp14:editId="0FE7215D">
            <wp:extent cx="1238250" cy="342900"/>
            <wp:effectExtent l="0" t="0" r="0" b="0"/>
            <wp:docPr id="12" name="Picture 12" descr="USA.gov - Government Made Eas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A.gov - Government Made Eas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rsidR="00837990" w:rsidRPr="00837990" w:rsidRDefault="00837990" w:rsidP="00837990">
      <w:pPr>
        <w:shd w:val="clear" w:color="auto" w:fill="FFFFFF"/>
        <w:spacing w:before="300" w:after="300" w:line="240" w:lineRule="auto"/>
        <w:jc w:val="center"/>
        <w:rPr>
          <w:rFonts w:ascii="Helvetica" w:eastAsia="Times New Roman" w:hAnsi="Helvetica" w:cs="Helvetica"/>
          <w:color w:val="333333"/>
          <w:sz w:val="20"/>
          <w:szCs w:val="20"/>
        </w:rPr>
      </w:pPr>
      <w:r w:rsidRPr="00837990">
        <w:rPr>
          <w:rFonts w:ascii="Trebuchet MS" w:eastAsia="Times New Roman" w:hAnsi="Trebuchet MS" w:cs="Helvetica"/>
          <w:color w:val="6E6E6E"/>
          <w:sz w:val="20"/>
          <w:szCs w:val="20"/>
        </w:rPr>
        <w:t xml:space="preserve">NIH... Turning Discovery </w:t>
      </w:r>
      <w:proofErr w:type="gramStart"/>
      <w:r w:rsidRPr="00837990">
        <w:rPr>
          <w:rFonts w:ascii="Trebuchet MS" w:eastAsia="Times New Roman" w:hAnsi="Trebuchet MS" w:cs="Helvetica"/>
          <w:color w:val="6E6E6E"/>
          <w:sz w:val="20"/>
          <w:szCs w:val="20"/>
        </w:rPr>
        <w:t>Into</w:t>
      </w:r>
      <w:proofErr w:type="gramEnd"/>
      <w:r w:rsidRPr="00837990">
        <w:rPr>
          <w:rFonts w:ascii="Trebuchet MS" w:eastAsia="Times New Roman" w:hAnsi="Trebuchet MS" w:cs="Helvetica"/>
          <w:color w:val="6E6E6E"/>
          <w:sz w:val="20"/>
          <w:szCs w:val="20"/>
        </w:rPr>
        <w:t xml:space="preserve"> Health</w:t>
      </w:r>
      <w:r w:rsidRPr="00837990">
        <w:rPr>
          <w:rFonts w:ascii="Trebuchet MS" w:eastAsia="Times New Roman" w:hAnsi="Trebuchet MS" w:cs="Helvetica"/>
          <w:color w:val="6E6E6E"/>
          <w:sz w:val="15"/>
          <w:szCs w:val="15"/>
          <w:vertAlign w:val="superscript"/>
        </w:rPr>
        <w:t>®</w:t>
      </w:r>
    </w:p>
    <w:p w:rsidR="007241F5" w:rsidRDefault="007241F5">
      <w:bookmarkStart w:id="0" w:name="_GoBack"/>
      <w:bookmarkEnd w:id="0"/>
    </w:p>
    <w:sectPr w:rsidR="00724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409"/>
    <w:multiLevelType w:val="multilevel"/>
    <w:tmpl w:val="3796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5BB1"/>
    <w:multiLevelType w:val="multilevel"/>
    <w:tmpl w:val="98B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36B4"/>
    <w:multiLevelType w:val="multilevel"/>
    <w:tmpl w:val="A69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4DEC"/>
    <w:multiLevelType w:val="multilevel"/>
    <w:tmpl w:val="2742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AC3"/>
    <w:multiLevelType w:val="multilevel"/>
    <w:tmpl w:val="BF8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1473D"/>
    <w:multiLevelType w:val="multilevel"/>
    <w:tmpl w:val="83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67E18"/>
    <w:multiLevelType w:val="multilevel"/>
    <w:tmpl w:val="76F4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74B7"/>
    <w:multiLevelType w:val="multilevel"/>
    <w:tmpl w:val="9DD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4634E"/>
    <w:multiLevelType w:val="multilevel"/>
    <w:tmpl w:val="C22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53F29"/>
    <w:multiLevelType w:val="multilevel"/>
    <w:tmpl w:val="8C30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6069B"/>
    <w:multiLevelType w:val="multilevel"/>
    <w:tmpl w:val="25A4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C0339"/>
    <w:multiLevelType w:val="multilevel"/>
    <w:tmpl w:val="8916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A2869"/>
    <w:multiLevelType w:val="multilevel"/>
    <w:tmpl w:val="FD3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B7D7E"/>
    <w:multiLevelType w:val="multilevel"/>
    <w:tmpl w:val="170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94803"/>
    <w:multiLevelType w:val="multilevel"/>
    <w:tmpl w:val="D9E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80E5E"/>
    <w:multiLevelType w:val="multilevel"/>
    <w:tmpl w:val="B406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6103B"/>
    <w:multiLevelType w:val="multilevel"/>
    <w:tmpl w:val="C7E6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2"/>
  </w:num>
  <w:num w:numId="4">
    <w:abstractNumId w:val="3"/>
  </w:num>
  <w:num w:numId="5">
    <w:abstractNumId w:val="9"/>
  </w:num>
  <w:num w:numId="6">
    <w:abstractNumId w:val="0"/>
  </w:num>
  <w:num w:numId="7">
    <w:abstractNumId w:val="8"/>
  </w:num>
  <w:num w:numId="8">
    <w:abstractNumId w:val="2"/>
  </w:num>
  <w:num w:numId="9">
    <w:abstractNumId w:val="16"/>
  </w:num>
  <w:num w:numId="10">
    <w:abstractNumId w:val="14"/>
  </w:num>
  <w:num w:numId="11">
    <w:abstractNumId w:val="15"/>
  </w:num>
  <w:num w:numId="12">
    <w:abstractNumId w:val="13"/>
  </w:num>
  <w:num w:numId="13">
    <w:abstractNumId w:val="6"/>
  </w:num>
  <w:num w:numId="14">
    <w:abstractNumId w:val="10"/>
  </w:num>
  <w:num w:numId="15">
    <w:abstractNumId w:val="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90"/>
    <w:rsid w:val="007241F5"/>
    <w:rsid w:val="0083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89F9-CFED-43A0-BC75-5722917E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91442">
      <w:bodyDiv w:val="1"/>
      <w:marLeft w:val="0"/>
      <w:marRight w:val="0"/>
      <w:marTop w:val="0"/>
      <w:marBottom w:val="0"/>
      <w:divBdr>
        <w:top w:val="none" w:sz="0" w:space="0" w:color="auto"/>
        <w:left w:val="none" w:sz="0" w:space="0" w:color="auto"/>
        <w:bottom w:val="none" w:sz="0" w:space="0" w:color="auto"/>
        <w:right w:val="none" w:sz="0" w:space="0" w:color="auto"/>
      </w:divBdr>
      <w:divsChild>
        <w:div w:id="1996911057">
          <w:marLeft w:val="-225"/>
          <w:marRight w:val="-225"/>
          <w:marTop w:val="0"/>
          <w:marBottom w:val="0"/>
          <w:divBdr>
            <w:top w:val="none" w:sz="0" w:space="0" w:color="auto"/>
            <w:left w:val="none" w:sz="0" w:space="0" w:color="auto"/>
            <w:bottom w:val="none" w:sz="0" w:space="0" w:color="auto"/>
            <w:right w:val="none" w:sz="0" w:space="0" w:color="auto"/>
          </w:divBdr>
          <w:divsChild>
            <w:div w:id="944308854">
              <w:marLeft w:val="0"/>
              <w:marRight w:val="0"/>
              <w:marTop w:val="0"/>
              <w:marBottom w:val="0"/>
              <w:divBdr>
                <w:top w:val="none" w:sz="0" w:space="0" w:color="auto"/>
                <w:left w:val="none" w:sz="0" w:space="0" w:color="auto"/>
                <w:bottom w:val="none" w:sz="0" w:space="0" w:color="auto"/>
                <w:right w:val="none" w:sz="0" w:space="0" w:color="auto"/>
              </w:divBdr>
            </w:div>
          </w:divsChild>
        </w:div>
        <w:div w:id="1500925405">
          <w:marLeft w:val="-225"/>
          <w:marRight w:val="-225"/>
          <w:marTop w:val="0"/>
          <w:marBottom w:val="0"/>
          <w:divBdr>
            <w:top w:val="none" w:sz="0" w:space="0" w:color="auto"/>
            <w:left w:val="none" w:sz="0" w:space="0" w:color="auto"/>
            <w:bottom w:val="none" w:sz="0" w:space="0" w:color="auto"/>
            <w:right w:val="none" w:sz="0" w:space="0" w:color="auto"/>
          </w:divBdr>
          <w:divsChild>
            <w:div w:id="35737835">
              <w:marLeft w:val="0"/>
              <w:marRight w:val="0"/>
              <w:marTop w:val="0"/>
              <w:marBottom w:val="0"/>
              <w:divBdr>
                <w:top w:val="none" w:sz="0" w:space="0" w:color="auto"/>
                <w:left w:val="none" w:sz="0" w:space="0" w:color="auto"/>
                <w:bottom w:val="none" w:sz="0" w:space="0" w:color="auto"/>
                <w:right w:val="none" w:sz="0" w:space="0" w:color="auto"/>
              </w:divBdr>
            </w:div>
          </w:divsChild>
        </w:div>
        <w:div w:id="2136755272">
          <w:marLeft w:val="-225"/>
          <w:marRight w:val="-225"/>
          <w:marTop w:val="0"/>
          <w:marBottom w:val="0"/>
          <w:divBdr>
            <w:top w:val="none" w:sz="0" w:space="0" w:color="auto"/>
            <w:left w:val="none" w:sz="0" w:space="0" w:color="auto"/>
            <w:bottom w:val="none" w:sz="0" w:space="0" w:color="auto"/>
            <w:right w:val="none" w:sz="0" w:space="0" w:color="auto"/>
          </w:divBdr>
          <w:divsChild>
            <w:div w:id="956444425">
              <w:marLeft w:val="0"/>
              <w:marRight w:val="0"/>
              <w:marTop w:val="0"/>
              <w:marBottom w:val="0"/>
              <w:divBdr>
                <w:top w:val="none" w:sz="0" w:space="0" w:color="auto"/>
                <w:left w:val="none" w:sz="0" w:space="0" w:color="auto"/>
                <w:bottom w:val="none" w:sz="0" w:space="0" w:color="auto"/>
                <w:right w:val="none" w:sz="0" w:space="0" w:color="auto"/>
              </w:divBdr>
              <w:divsChild>
                <w:div w:id="779446508">
                  <w:marLeft w:val="0"/>
                  <w:marRight w:val="0"/>
                  <w:marTop w:val="0"/>
                  <w:marBottom w:val="0"/>
                  <w:divBdr>
                    <w:top w:val="none" w:sz="0" w:space="0" w:color="auto"/>
                    <w:left w:val="none" w:sz="0" w:space="0" w:color="auto"/>
                    <w:bottom w:val="none" w:sz="0" w:space="0" w:color="auto"/>
                    <w:right w:val="none" w:sz="0" w:space="0" w:color="auto"/>
                  </w:divBdr>
                </w:div>
                <w:div w:id="1697584818">
                  <w:marLeft w:val="0"/>
                  <w:marRight w:val="0"/>
                  <w:marTop w:val="0"/>
                  <w:marBottom w:val="0"/>
                  <w:divBdr>
                    <w:top w:val="none" w:sz="0" w:space="0" w:color="auto"/>
                    <w:left w:val="none" w:sz="0" w:space="0" w:color="auto"/>
                    <w:bottom w:val="none" w:sz="0" w:space="0" w:color="auto"/>
                    <w:right w:val="none" w:sz="0" w:space="0" w:color="auto"/>
                  </w:divBdr>
                  <w:divsChild>
                    <w:div w:id="1463228175">
                      <w:marLeft w:val="0"/>
                      <w:marRight w:val="0"/>
                      <w:marTop w:val="0"/>
                      <w:marBottom w:val="0"/>
                      <w:divBdr>
                        <w:top w:val="none" w:sz="0" w:space="0" w:color="auto"/>
                        <w:left w:val="none" w:sz="0" w:space="0" w:color="auto"/>
                        <w:bottom w:val="none" w:sz="0" w:space="0" w:color="auto"/>
                        <w:right w:val="none" w:sz="0" w:space="0" w:color="auto"/>
                      </w:divBdr>
                    </w:div>
                    <w:div w:id="815072249">
                      <w:marLeft w:val="0"/>
                      <w:marRight w:val="0"/>
                      <w:marTop w:val="0"/>
                      <w:marBottom w:val="0"/>
                      <w:divBdr>
                        <w:top w:val="none" w:sz="0" w:space="0" w:color="auto"/>
                        <w:left w:val="none" w:sz="0" w:space="0" w:color="auto"/>
                        <w:bottom w:val="none" w:sz="0" w:space="0" w:color="auto"/>
                        <w:right w:val="none" w:sz="0" w:space="0" w:color="auto"/>
                      </w:divBdr>
                    </w:div>
                  </w:divsChild>
                </w:div>
                <w:div w:id="10406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7030">
          <w:marLeft w:val="-225"/>
          <w:marRight w:val="-225"/>
          <w:marTop w:val="0"/>
          <w:marBottom w:val="0"/>
          <w:divBdr>
            <w:top w:val="none" w:sz="0" w:space="0" w:color="auto"/>
            <w:left w:val="none" w:sz="0" w:space="0" w:color="auto"/>
            <w:bottom w:val="none" w:sz="0" w:space="0" w:color="auto"/>
            <w:right w:val="none" w:sz="0" w:space="0" w:color="auto"/>
          </w:divBdr>
          <w:divsChild>
            <w:div w:id="2426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policy/nihgps/HTML5/section_15/15.2_administrative_and_other_requirements.htm" TargetMode="External"/><Relationship Id="rId13" Type="http://schemas.openxmlformats.org/officeDocument/2006/relationships/hyperlink" Target="https://grants.nih.gov/grants/oer.htm" TargetMode="External"/><Relationship Id="rId1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s://grants.nih.gov/grants/policy/nihgps/HTML5/section_8/8.3_management_systems_and_procedures.htm" TargetMode="External"/><Relationship Id="rId12" Type="http://schemas.openxmlformats.org/officeDocument/2006/relationships/hyperlink" Target="https://grants.nih.gov/grants/guide/index.html" TargetMode="External"/><Relationship Id="rId17" Type="http://schemas.openxmlformats.org/officeDocument/2006/relationships/hyperlink" Target="http://www.usa.gov/"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fr.gov/cgi-bin/text-idx?SID=f3e9328bbbd5aabe8e639ca48dcbcc7f&amp;mc=true&amp;node=se45.1.75_1303&amp;rgn=div8" TargetMode="External"/><Relationship Id="rId11" Type="http://schemas.openxmlformats.org/officeDocument/2006/relationships/hyperlink" Target="https://grants.nih.gov/grants/guide/WeeklyIndex.cfm?09-08-17" TargetMode="External"/><Relationship Id="rId5" Type="http://schemas.openxmlformats.org/officeDocument/2006/relationships/hyperlink" Target="http://www.nih.gov/" TargetMode="External"/><Relationship Id="rId15" Type="http://schemas.openxmlformats.org/officeDocument/2006/relationships/hyperlink" Target="http://www.hhs.gov/" TargetMode="External"/><Relationship Id="rId10" Type="http://schemas.openxmlformats.org/officeDocument/2006/relationships/hyperlink" Target="mailto:NIH-CoC-Coordinator@mail.nih.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mansubjects.nih.gov/coc/index"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Dawnett</dc:creator>
  <cp:keywords/>
  <dc:description/>
  <cp:lastModifiedBy>Watkins, Dawnett</cp:lastModifiedBy>
  <cp:revision>1</cp:revision>
  <dcterms:created xsi:type="dcterms:W3CDTF">2017-10-11T12:53:00Z</dcterms:created>
  <dcterms:modified xsi:type="dcterms:W3CDTF">2017-10-11T12:54:00Z</dcterms:modified>
</cp:coreProperties>
</file>