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7"/>
        <w:gridCol w:w="2773"/>
        <w:gridCol w:w="1230"/>
      </w:tblGrid>
      <w:tr w:rsidR="00F90D33" w:rsidRPr="006D03F9" w14:paraId="6F775081" w14:textId="77777777" w:rsidTr="006D03F9">
        <w:trPr>
          <w:jc w:val="center"/>
        </w:trPr>
        <w:tc>
          <w:tcPr>
            <w:tcW w:w="9684" w:type="dxa"/>
            <w:gridSpan w:val="3"/>
            <w:shd w:val="clear" w:color="auto" w:fill="auto"/>
          </w:tcPr>
          <w:p w14:paraId="65E5EF17" w14:textId="77777777" w:rsidR="00F90D33" w:rsidRPr="006D03F9" w:rsidRDefault="00F90D33" w:rsidP="006D03F9">
            <w:pPr>
              <w:jc w:val="center"/>
              <w:rPr>
                <w:rFonts w:ascii="Arial" w:hAnsi="Arial" w:cs="Arial"/>
                <w:b/>
                <w:sz w:val="28"/>
                <w:szCs w:val="28"/>
              </w:rPr>
            </w:pPr>
            <w:smartTag w:uri="urn:schemas-microsoft-com:office:smarttags" w:element="place">
              <w:smartTag w:uri="urn:schemas-microsoft-com:office:smarttags" w:element="PlaceName">
                <w:r w:rsidRPr="006D03F9">
                  <w:rPr>
                    <w:rFonts w:ascii="Arial" w:hAnsi="Arial" w:cs="Arial"/>
                    <w:b/>
                    <w:sz w:val="28"/>
                    <w:szCs w:val="28"/>
                  </w:rPr>
                  <w:t>Oklahoma</w:t>
                </w:r>
              </w:smartTag>
              <w:r w:rsidRPr="006D03F9">
                <w:rPr>
                  <w:rFonts w:ascii="Arial" w:hAnsi="Arial" w:cs="Arial"/>
                  <w:b/>
                  <w:sz w:val="28"/>
                  <w:szCs w:val="28"/>
                </w:rPr>
                <w:t xml:space="preserve"> </w:t>
              </w:r>
              <w:smartTag w:uri="urn:schemas-microsoft-com:office:smarttags" w:element="PlaceType">
                <w:r w:rsidRPr="006D03F9">
                  <w:rPr>
                    <w:rFonts w:ascii="Arial" w:hAnsi="Arial" w:cs="Arial"/>
                    <w:b/>
                    <w:sz w:val="28"/>
                    <w:szCs w:val="28"/>
                  </w:rPr>
                  <w:t>State</w:t>
                </w:r>
              </w:smartTag>
              <w:r w:rsidRPr="006D03F9">
                <w:rPr>
                  <w:rFonts w:ascii="Arial" w:hAnsi="Arial" w:cs="Arial"/>
                  <w:b/>
                  <w:sz w:val="28"/>
                  <w:szCs w:val="28"/>
                </w:rPr>
                <w:t xml:space="preserve"> </w:t>
              </w:r>
              <w:smartTag w:uri="urn:schemas-microsoft-com:office:smarttags" w:element="PlaceType">
                <w:r w:rsidRPr="006D03F9">
                  <w:rPr>
                    <w:rFonts w:ascii="Arial" w:hAnsi="Arial" w:cs="Arial"/>
                    <w:b/>
                    <w:sz w:val="28"/>
                    <w:szCs w:val="28"/>
                  </w:rPr>
                  <w:t>University</w:t>
                </w:r>
              </w:smartTag>
            </w:smartTag>
            <w:r w:rsidRPr="006D03F9">
              <w:rPr>
                <w:rFonts w:ascii="Arial" w:hAnsi="Arial" w:cs="Arial"/>
                <w:b/>
                <w:sz w:val="28"/>
                <w:szCs w:val="28"/>
              </w:rPr>
              <w:t xml:space="preserve"> Institutional Review Board</w:t>
            </w:r>
          </w:p>
          <w:p w14:paraId="4112208B" w14:textId="77777777" w:rsidR="00F90D33" w:rsidRPr="006D03F9" w:rsidRDefault="00F90D33" w:rsidP="006D03F9">
            <w:pPr>
              <w:jc w:val="center"/>
              <w:rPr>
                <w:rFonts w:ascii="Arial" w:hAnsi="Arial" w:cs="Arial"/>
              </w:rPr>
            </w:pPr>
            <w:r w:rsidRPr="006D03F9">
              <w:rPr>
                <w:rFonts w:ascii="Arial" w:hAnsi="Arial" w:cs="Arial"/>
                <w:b/>
                <w:sz w:val="28"/>
                <w:szCs w:val="28"/>
              </w:rPr>
              <w:t>Standard Operating Procedures</w:t>
            </w:r>
          </w:p>
        </w:tc>
      </w:tr>
      <w:tr w:rsidR="00570513" w:rsidRPr="006D03F9" w14:paraId="30C82A7E" w14:textId="77777777" w:rsidTr="006D03F9">
        <w:trPr>
          <w:jc w:val="center"/>
        </w:trPr>
        <w:tc>
          <w:tcPr>
            <w:tcW w:w="5562" w:type="dxa"/>
            <w:vMerge w:val="restart"/>
            <w:shd w:val="clear" w:color="auto" w:fill="auto"/>
          </w:tcPr>
          <w:p w14:paraId="4F58672A" w14:textId="77777777" w:rsidR="00570513" w:rsidRPr="006D03F9" w:rsidRDefault="00570513" w:rsidP="006D03F9">
            <w:pPr>
              <w:jc w:val="center"/>
              <w:rPr>
                <w:rFonts w:ascii="Arial" w:hAnsi="Arial" w:cs="Arial"/>
              </w:rPr>
            </w:pPr>
          </w:p>
          <w:p w14:paraId="0D7A8B4E" w14:textId="77777777" w:rsidR="00570513" w:rsidRPr="006D03F9" w:rsidRDefault="00570513" w:rsidP="00570513">
            <w:pPr>
              <w:rPr>
                <w:rFonts w:ascii="Arial" w:hAnsi="Arial" w:cs="Arial"/>
              </w:rPr>
            </w:pPr>
          </w:p>
          <w:p w14:paraId="313EE908" w14:textId="77777777" w:rsidR="00570513" w:rsidRPr="006D03F9" w:rsidRDefault="00011BD7" w:rsidP="006D03F9">
            <w:pPr>
              <w:jc w:val="center"/>
              <w:rPr>
                <w:rFonts w:ascii="Arial" w:hAnsi="Arial" w:cs="Arial"/>
                <w:b/>
                <w:sz w:val="28"/>
                <w:szCs w:val="28"/>
              </w:rPr>
            </w:pPr>
            <w:r w:rsidRPr="006D03F9">
              <w:rPr>
                <w:rFonts w:ascii="Arial" w:hAnsi="Arial" w:cs="Arial"/>
                <w:b/>
                <w:sz w:val="28"/>
                <w:szCs w:val="28"/>
              </w:rPr>
              <w:t>Oral History</w:t>
            </w:r>
          </w:p>
        </w:tc>
        <w:tc>
          <w:tcPr>
            <w:tcW w:w="2860" w:type="dxa"/>
            <w:shd w:val="clear" w:color="auto" w:fill="auto"/>
          </w:tcPr>
          <w:p w14:paraId="557EAC80" w14:textId="77777777" w:rsidR="00570513" w:rsidRPr="006D03F9" w:rsidRDefault="00570513">
            <w:pPr>
              <w:rPr>
                <w:rFonts w:ascii="Arial" w:hAnsi="Arial" w:cs="Arial"/>
                <w:sz w:val="22"/>
                <w:szCs w:val="22"/>
              </w:rPr>
            </w:pPr>
            <w:r w:rsidRPr="006D03F9">
              <w:rPr>
                <w:rFonts w:ascii="Arial" w:hAnsi="Arial" w:cs="Arial"/>
                <w:sz w:val="22"/>
                <w:szCs w:val="22"/>
              </w:rPr>
              <w:t>SOP #</w:t>
            </w:r>
          </w:p>
        </w:tc>
        <w:tc>
          <w:tcPr>
            <w:tcW w:w="1262" w:type="dxa"/>
            <w:shd w:val="clear" w:color="auto" w:fill="auto"/>
          </w:tcPr>
          <w:p w14:paraId="77AC871C" w14:textId="77777777" w:rsidR="00570513" w:rsidRPr="006D03F9" w:rsidRDefault="00633C3A">
            <w:pPr>
              <w:rPr>
                <w:rFonts w:ascii="Arial" w:hAnsi="Arial" w:cs="Arial"/>
                <w:sz w:val="22"/>
                <w:szCs w:val="22"/>
              </w:rPr>
            </w:pPr>
            <w:r w:rsidRPr="006D03F9">
              <w:rPr>
                <w:rFonts w:ascii="Arial" w:hAnsi="Arial" w:cs="Arial"/>
                <w:sz w:val="22"/>
                <w:szCs w:val="22"/>
              </w:rPr>
              <w:t>RR</w:t>
            </w:r>
            <w:r w:rsidR="00ED5191" w:rsidRPr="006D03F9">
              <w:rPr>
                <w:rFonts w:ascii="Arial" w:hAnsi="Arial" w:cs="Arial"/>
                <w:sz w:val="22"/>
                <w:szCs w:val="22"/>
              </w:rPr>
              <w:t>-</w:t>
            </w:r>
            <w:r w:rsidRPr="006D03F9">
              <w:rPr>
                <w:rFonts w:ascii="Arial" w:hAnsi="Arial" w:cs="Arial"/>
                <w:sz w:val="22"/>
                <w:szCs w:val="22"/>
              </w:rPr>
              <w:t>411</w:t>
            </w:r>
          </w:p>
        </w:tc>
      </w:tr>
      <w:tr w:rsidR="00570513" w:rsidRPr="006D03F9" w14:paraId="5D78594A" w14:textId="77777777" w:rsidTr="006D03F9">
        <w:trPr>
          <w:jc w:val="center"/>
        </w:trPr>
        <w:tc>
          <w:tcPr>
            <w:tcW w:w="5562" w:type="dxa"/>
            <w:vMerge/>
            <w:shd w:val="clear" w:color="auto" w:fill="auto"/>
          </w:tcPr>
          <w:p w14:paraId="0A12FE37" w14:textId="77777777" w:rsidR="00570513" w:rsidRPr="006D03F9" w:rsidRDefault="00570513">
            <w:pPr>
              <w:rPr>
                <w:rFonts w:ascii="Arial" w:hAnsi="Arial" w:cs="Arial"/>
              </w:rPr>
            </w:pPr>
          </w:p>
        </w:tc>
        <w:tc>
          <w:tcPr>
            <w:tcW w:w="2860" w:type="dxa"/>
            <w:shd w:val="clear" w:color="auto" w:fill="auto"/>
          </w:tcPr>
          <w:p w14:paraId="15AF40AD" w14:textId="77777777" w:rsidR="00570513" w:rsidRPr="006D03F9" w:rsidRDefault="00570513">
            <w:pPr>
              <w:rPr>
                <w:rFonts w:ascii="Arial" w:hAnsi="Arial" w:cs="Arial"/>
                <w:sz w:val="22"/>
                <w:szCs w:val="22"/>
              </w:rPr>
            </w:pPr>
            <w:r w:rsidRPr="006D03F9">
              <w:rPr>
                <w:rFonts w:ascii="Arial" w:hAnsi="Arial" w:cs="Arial"/>
                <w:sz w:val="22"/>
                <w:szCs w:val="22"/>
              </w:rPr>
              <w:t>Effective Date</w:t>
            </w:r>
          </w:p>
        </w:tc>
        <w:tc>
          <w:tcPr>
            <w:tcW w:w="1262" w:type="dxa"/>
            <w:shd w:val="clear" w:color="auto" w:fill="auto"/>
          </w:tcPr>
          <w:p w14:paraId="7F50E544" w14:textId="77777777" w:rsidR="00570513" w:rsidRPr="006D03F9" w:rsidRDefault="00570513">
            <w:pPr>
              <w:rPr>
                <w:rFonts w:ascii="Arial" w:hAnsi="Arial" w:cs="Arial"/>
                <w:sz w:val="22"/>
                <w:szCs w:val="22"/>
              </w:rPr>
            </w:pPr>
          </w:p>
        </w:tc>
      </w:tr>
      <w:tr w:rsidR="00570513" w:rsidRPr="006D03F9" w14:paraId="55C59569" w14:textId="77777777" w:rsidTr="006D03F9">
        <w:trPr>
          <w:jc w:val="center"/>
        </w:trPr>
        <w:tc>
          <w:tcPr>
            <w:tcW w:w="5562" w:type="dxa"/>
            <w:vMerge/>
            <w:shd w:val="clear" w:color="auto" w:fill="auto"/>
          </w:tcPr>
          <w:p w14:paraId="6D0641D3" w14:textId="77777777" w:rsidR="00570513" w:rsidRPr="006D03F9" w:rsidRDefault="00570513">
            <w:pPr>
              <w:rPr>
                <w:rFonts w:ascii="Arial" w:hAnsi="Arial" w:cs="Arial"/>
              </w:rPr>
            </w:pPr>
          </w:p>
        </w:tc>
        <w:tc>
          <w:tcPr>
            <w:tcW w:w="2860" w:type="dxa"/>
            <w:shd w:val="clear" w:color="auto" w:fill="auto"/>
          </w:tcPr>
          <w:p w14:paraId="2418229B" w14:textId="77777777" w:rsidR="00570513" w:rsidRPr="006D03F9" w:rsidRDefault="00570513">
            <w:pPr>
              <w:rPr>
                <w:rFonts w:ascii="Arial" w:hAnsi="Arial" w:cs="Arial"/>
                <w:sz w:val="22"/>
                <w:szCs w:val="22"/>
              </w:rPr>
            </w:pPr>
            <w:r w:rsidRPr="006D03F9">
              <w:rPr>
                <w:rFonts w:ascii="Arial" w:hAnsi="Arial" w:cs="Arial"/>
                <w:sz w:val="22"/>
                <w:szCs w:val="22"/>
              </w:rPr>
              <w:t>Revision Date</w:t>
            </w:r>
          </w:p>
        </w:tc>
        <w:tc>
          <w:tcPr>
            <w:tcW w:w="1262" w:type="dxa"/>
            <w:shd w:val="clear" w:color="auto" w:fill="auto"/>
          </w:tcPr>
          <w:p w14:paraId="4CF45DF6" w14:textId="77777777" w:rsidR="00570513" w:rsidRPr="006D03F9" w:rsidRDefault="00570513">
            <w:pPr>
              <w:rPr>
                <w:rFonts w:ascii="Arial" w:hAnsi="Arial" w:cs="Arial"/>
                <w:sz w:val="22"/>
                <w:szCs w:val="22"/>
              </w:rPr>
            </w:pPr>
          </w:p>
        </w:tc>
      </w:tr>
      <w:tr w:rsidR="00570513" w:rsidRPr="006D03F9" w14:paraId="0A156266" w14:textId="77777777" w:rsidTr="006D03F9">
        <w:trPr>
          <w:jc w:val="center"/>
        </w:trPr>
        <w:tc>
          <w:tcPr>
            <w:tcW w:w="5562" w:type="dxa"/>
            <w:vMerge/>
            <w:shd w:val="clear" w:color="auto" w:fill="auto"/>
          </w:tcPr>
          <w:p w14:paraId="1801BE54" w14:textId="77777777" w:rsidR="00570513" w:rsidRPr="006D03F9" w:rsidRDefault="00570513">
            <w:pPr>
              <w:rPr>
                <w:rFonts w:ascii="Arial" w:hAnsi="Arial" w:cs="Arial"/>
              </w:rPr>
            </w:pPr>
          </w:p>
        </w:tc>
        <w:tc>
          <w:tcPr>
            <w:tcW w:w="2860" w:type="dxa"/>
            <w:shd w:val="clear" w:color="auto" w:fill="auto"/>
          </w:tcPr>
          <w:p w14:paraId="15EF668C" w14:textId="77777777" w:rsidR="00570513" w:rsidRPr="006D03F9" w:rsidRDefault="00570513">
            <w:pPr>
              <w:rPr>
                <w:rFonts w:ascii="Arial" w:hAnsi="Arial" w:cs="Arial"/>
                <w:sz w:val="22"/>
                <w:szCs w:val="22"/>
              </w:rPr>
            </w:pPr>
            <w:r w:rsidRPr="006D03F9">
              <w:rPr>
                <w:rFonts w:ascii="Arial" w:hAnsi="Arial" w:cs="Arial"/>
                <w:sz w:val="22"/>
                <w:szCs w:val="22"/>
              </w:rPr>
              <w:t>Revision #</w:t>
            </w:r>
          </w:p>
        </w:tc>
        <w:tc>
          <w:tcPr>
            <w:tcW w:w="1262" w:type="dxa"/>
            <w:shd w:val="clear" w:color="auto" w:fill="auto"/>
          </w:tcPr>
          <w:p w14:paraId="1C3DCE05" w14:textId="77777777" w:rsidR="00570513" w:rsidRPr="006D03F9" w:rsidRDefault="00570513">
            <w:pPr>
              <w:rPr>
                <w:rFonts w:ascii="Arial" w:hAnsi="Arial" w:cs="Arial"/>
                <w:sz w:val="22"/>
                <w:szCs w:val="22"/>
              </w:rPr>
            </w:pPr>
          </w:p>
        </w:tc>
      </w:tr>
      <w:tr w:rsidR="00570513" w:rsidRPr="006D03F9" w14:paraId="6F8C269D" w14:textId="77777777" w:rsidTr="006D03F9">
        <w:trPr>
          <w:jc w:val="center"/>
        </w:trPr>
        <w:tc>
          <w:tcPr>
            <w:tcW w:w="5562" w:type="dxa"/>
            <w:vMerge/>
            <w:shd w:val="clear" w:color="auto" w:fill="auto"/>
          </w:tcPr>
          <w:p w14:paraId="716C8897" w14:textId="77777777" w:rsidR="00570513" w:rsidRPr="006D03F9" w:rsidRDefault="00570513">
            <w:pPr>
              <w:rPr>
                <w:rFonts w:ascii="Arial" w:hAnsi="Arial" w:cs="Arial"/>
              </w:rPr>
            </w:pPr>
          </w:p>
        </w:tc>
        <w:tc>
          <w:tcPr>
            <w:tcW w:w="2860" w:type="dxa"/>
            <w:shd w:val="clear" w:color="auto" w:fill="auto"/>
          </w:tcPr>
          <w:p w14:paraId="6BC10921" w14:textId="77777777" w:rsidR="00570513" w:rsidRPr="006D03F9" w:rsidRDefault="00570513" w:rsidP="00633C3A">
            <w:pPr>
              <w:rPr>
                <w:rFonts w:ascii="Arial" w:hAnsi="Arial" w:cs="Arial"/>
                <w:sz w:val="22"/>
                <w:szCs w:val="22"/>
              </w:rPr>
            </w:pPr>
            <w:r w:rsidRPr="006D03F9">
              <w:rPr>
                <w:rFonts w:ascii="Arial" w:hAnsi="Arial" w:cs="Arial"/>
                <w:sz w:val="22"/>
                <w:szCs w:val="22"/>
              </w:rPr>
              <w:t>Approval</w:t>
            </w:r>
            <w:r w:rsidR="00633C3A" w:rsidRPr="006D03F9">
              <w:rPr>
                <w:rFonts w:ascii="Arial" w:hAnsi="Arial" w:cs="Arial"/>
                <w:sz w:val="22"/>
                <w:szCs w:val="22"/>
              </w:rPr>
              <w:t xml:space="preserve"> IRB</w:t>
            </w:r>
          </w:p>
        </w:tc>
        <w:tc>
          <w:tcPr>
            <w:tcW w:w="1262" w:type="dxa"/>
            <w:shd w:val="clear" w:color="auto" w:fill="auto"/>
          </w:tcPr>
          <w:p w14:paraId="678835FD" w14:textId="77777777" w:rsidR="00570513" w:rsidRPr="006D03F9" w:rsidRDefault="00570513">
            <w:pPr>
              <w:rPr>
                <w:rFonts w:ascii="Arial" w:hAnsi="Arial" w:cs="Arial"/>
                <w:sz w:val="22"/>
                <w:szCs w:val="22"/>
              </w:rPr>
            </w:pPr>
          </w:p>
        </w:tc>
      </w:tr>
    </w:tbl>
    <w:p w14:paraId="6EB250F7" w14:textId="77777777" w:rsidR="00893925" w:rsidRPr="00D67553" w:rsidRDefault="00893925">
      <w:pPr>
        <w:rPr>
          <w:rFonts w:ascii="Arial" w:hAnsi="Arial" w:cs="Arial"/>
        </w:rPr>
      </w:pPr>
    </w:p>
    <w:p w14:paraId="49D8FE5A" w14:textId="71D4EB02" w:rsidR="00633C3A" w:rsidRDefault="00633C3A" w:rsidP="00633C3A">
      <w:pPr>
        <w:rPr>
          <w:rFonts w:ascii="Arial" w:hAnsi="Arial" w:cs="Arial"/>
          <w:b/>
        </w:rPr>
      </w:pPr>
      <w:r>
        <w:rPr>
          <w:rFonts w:ascii="Arial" w:hAnsi="Arial" w:cs="Arial"/>
          <w:b/>
        </w:rPr>
        <w:t xml:space="preserve">1. </w:t>
      </w:r>
      <w:r w:rsidR="00E92307">
        <w:rPr>
          <w:rFonts w:ascii="Arial" w:hAnsi="Arial" w:cs="Arial"/>
          <w:b/>
        </w:rPr>
        <w:t xml:space="preserve"> </w:t>
      </w:r>
      <w:r w:rsidRPr="00AB65D6">
        <w:rPr>
          <w:rFonts w:ascii="Arial" w:hAnsi="Arial" w:cs="Arial"/>
          <w:b/>
        </w:rPr>
        <w:t>P</w:t>
      </w:r>
      <w:r>
        <w:rPr>
          <w:rFonts w:ascii="Arial" w:hAnsi="Arial" w:cs="Arial"/>
          <w:b/>
        </w:rPr>
        <w:t>OLICY</w:t>
      </w:r>
    </w:p>
    <w:p w14:paraId="24A2AED2" w14:textId="77777777" w:rsidR="00633C3A" w:rsidRDefault="00633C3A" w:rsidP="00633C3A">
      <w:pPr>
        <w:rPr>
          <w:rFonts w:ascii="Arial" w:hAnsi="Arial" w:cs="Arial"/>
          <w:b/>
        </w:rPr>
      </w:pPr>
    </w:p>
    <w:p w14:paraId="101965E4" w14:textId="77777777" w:rsidR="00EA32A8" w:rsidRPr="00B72C91" w:rsidRDefault="00EA32A8" w:rsidP="00EA32A8">
      <w:pPr>
        <w:spacing w:after="120"/>
        <w:rPr>
          <w:rFonts w:ascii="Arial" w:hAnsi="Arial" w:cs="Arial"/>
          <w:snapToGrid w:val="0"/>
          <w:sz w:val="22"/>
          <w:szCs w:val="22"/>
        </w:rPr>
      </w:pPr>
      <w:r w:rsidRPr="00B72C91">
        <w:rPr>
          <w:rFonts w:ascii="Arial" w:hAnsi="Arial" w:cs="Arial"/>
          <w:snapToGrid w:val="0"/>
          <w:sz w:val="22"/>
          <w:szCs w:val="22"/>
        </w:rPr>
        <w:t xml:space="preserve">Oklahoma State University </w:t>
      </w:r>
      <w:r>
        <w:rPr>
          <w:rFonts w:ascii="Arial" w:hAnsi="Arial" w:cs="Arial"/>
          <w:snapToGrid w:val="0"/>
          <w:sz w:val="22"/>
          <w:szCs w:val="22"/>
        </w:rPr>
        <w:t>p</w:t>
      </w:r>
      <w:r w:rsidRPr="00B72C91">
        <w:rPr>
          <w:rFonts w:ascii="Arial" w:hAnsi="Arial" w:cs="Arial"/>
          <w:snapToGrid w:val="0"/>
          <w:sz w:val="22"/>
          <w:szCs w:val="22"/>
        </w:rPr>
        <w:t>olicy 4-0115, Policy for the Protection of Human Subjects in Research</w:t>
      </w:r>
      <w:r>
        <w:rPr>
          <w:rFonts w:ascii="Arial" w:hAnsi="Arial" w:cs="Arial"/>
          <w:snapToGrid w:val="0"/>
          <w:sz w:val="22"/>
          <w:szCs w:val="22"/>
        </w:rPr>
        <w:t>,</w:t>
      </w:r>
      <w:r w:rsidRPr="00B72C91">
        <w:rPr>
          <w:rFonts w:ascii="Arial" w:hAnsi="Arial" w:cs="Arial"/>
          <w:snapToGrid w:val="0"/>
          <w:sz w:val="22"/>
          <w:szCs w:val="22"/>
        </w:rPr>
        <w:t xml:space="preserve"> requires that, prior to initiation of any human subjects research related activities (i.e. </w:t>
      </w:r>
      <w:r w:rsidRPr="00B72C91">
        <w:rPr>
          <w:rFonts w:ascii="Arial" w:hAnsi="Arial" w:cs="Arial"/>
          <w:bCs/>
          <w:sz w:val="22"/>
          <w:szCs w:val="22"/>
        </w:rPr>
        <w:t>prior to recruitment of subjects and data collection),</w:t>
      </w:r>
      <w:r w:rsidRPr="00B72C91">
        <w:rPr>
          <w:rFonts w:ascii="Arial" w:hAnsi="Arial" w:cs="Arial"/>
          <w:snapToGrid w:val="0"/>
          <w:sz w:val="22"/>
          <w:szCs w:val="22"/>
        </w:rPr>
        <w:t xml:space="preserve"> </w:t>
      </w:r>
      <w:r w:rsidRPr="00B72C91">
        <w:rPr>
          <w:rFonts w:ascii="Arial" w:hAnsi="Arial" w:cs="Arial"/>
          <w:bCs/>
          <w:sz w:val="22"/>
          <w:szCs w:val="22"/>
        </w:rPr>
        <w:t>all research involving human beings as subjects of research, including research with human material</w:t>
      </w:r>
      <w:r>
        <w:rPr>
          <w:rFonts w:ascii="Arial" w:hAnsi="Arial" w:cs="Arial"/>
          <w:bCs/>
          <w:sz w:val="22"/>
          <w:szCs w:val="22"/>
        </w:rPr>
        <w:t xml:space="preserve"> (e.g., pathological and diagnostic specimens) </w:t>
      </w:r>
      <w:r w:rsidRPr="00B72C91">
        <w:rPr>
          <w:rFonts w:ascii="Arial" w:hAnsi="Arial" w:cs="Arial"/>
          <w:bCs/>
          <w:sz w:val="22"/>
          <w:szCs w:val="22"/>
        </w:rPr>
        <w:t xml:space="preserve">obtained from living individuals, </w:t>
      </w:r>
      <w:r w:rsidRPr="00B72C91">
        <w:rPr>
          <w:rFonts w:ascii="Arial" w:hAnsi="Arial" w:cs="Arial"/>
          <w:snapToGrid w:val="0"/>
          <w:sz w:val="22"/>
          <w:szCs w:val="22"/>
        </w:rPr>
        <w:t>be reviewed and approved by the IRB.</w:t>
      </w:r>
    </w:p>
    <w:p w14:paraId="396686C3" w14:textId="0DFF82F1" w:rsidR="00EA32A8" w:rsidRPr="00A925EA" w:rsidRDefault="00EA32A8" w:rsidP="00EA32A8">
      <w:pPr>
        <w:spacing w:after="120"/>
        <w:rPr>
          <w:rFonts w:ascii="Arial" w:hAnsi="Arial" w:cs="Arial"/>
          <w:sz w:val="22"/>
          <w:szCs w:val="22"/>
        </w:rPr>
      </w:pPr>
      <w:r w:rsidRPr="00B72C91">
        <w:rPr>
          <w:rFonts w:ascii="Arial" w:hAnsi="Arial" w:cs="Arial"/>
          <w:sz w:val="22"/>
          <w:szCs w:val="22"/>
        </w:rPr>
        <w:t xml:space="preserve">Research activities in which the only involvement of </w:t>
      </w:r>
      <w:r>
        <w:rPr>
          <w:rFonts w:ascii="Arial" w:hAnsi="Arial" w:cs="Arial"/>
          <w:sz w:val="22"/>
          <w:szCs w:val="22"/>
        </w:rPr>
        <w:t xml:space="preserve">participants is in an </w:t>
      </w:r>
      <w:r w:rsidR="00B23563">
        <w:rPr>
          <w:rFonts w:ascii="Arial" w:hAnsi="Arial" w:cs="Arial"/>
          <w:sz w:val="22"/>
          <w:szCs w:val="22"/>
        </w:rPr>
        <w:t>oral h</w:t>
      </w:r>
      <w:r>
        <w:rPr>
          <w:rFonts w:ascii="Arial" w:hAnsi="Arial" w:cs="Arial"/>
          <w:sz w:val="22"/>
          <w:szCs w:val="22"/>
        </w:rPr>
        <w:t xml:space="preserve">istory project may </w:t>
      </w:r>
      <w:r w:rsidR="0024185F">
        <w:rPr>
          <w:rFonts w:ascii="Arial" w:hAnsi="Arial" w:cs="Arial"/>
          <w:sz w:val="22"/>
          <w:szCs w:val="22"/>
        </w:rPr>
        <w:t xml:space="preserve">not be considered “human </w:t>
      </w:r>
      <w:r w:rsidR="0024185F" w:rsidRPr="00A925EA">
        <w:rPr>
          <w:rFonts w:ascii="Arial" w:hAnsi="Arial" w:cs="Arial"/>
          <w:sz w:val="22"/>
          <w:szCs w:val="22"/>
        </w:rPr>
        <w:t>subject</w:t>
      </w:r>
      <w:r w:rsidR="00777378" w:rsidRPr="00A925EA">
        <w:rPr>
          <w:rFonts w:ascii="Arial" w:hAnsi="Arial" w:cs="Arial"/>
          <w:sz w:val="22"/>
          <w:szCs w:val="22"/>
        </w:rPr>
        <w:t>s</w:t>
      </w:r>
      <w:r w:rsidR="0024185F" w:rsidRPr="00A925EA">
        <w:rPr>
          <w:rFonts w:ascii="Arial" w:hAnsi="Arial" w:cs="Arial"/>
          <w:sz w:val="22"/>
          <w:szCs w:val="22"/>
        </w:rPr>
        <w:t xml:space="preserve"> research” and thus </w:t>
      </w:r>
      <w:r w:rsidRPr="00A925EA">
        <w:rPr>
          <w:rFonts w:ascii="Arial" w:hAnsi="Arial" w:cs="Arial"/>
          <w:sz w:val="22"/>
          <w:szCs w:val="22"/>
        </w:rPr>
        <w:t xml:space="preserve">be excluded from IRB review. Determination of exclusion from IRB review is based on the </w:t>
      </w:r>
      <w:r w:rsidR="00B23563" w:rsidRPr="00A925EA">
        <w:rPr>
          <w:rFonts w:ascii="Arial" w:hAnsi="Arial" w:cs="Arial"/>
          <w:sz w:val="22"/>
          <w:szCs w:val="22"/>
        </w:rPr>
        <w:t xml:space="preserve">scholar’s </w:t>
      </w:r>
      <w:r w:rsidR="00011BD7" w:rsidRPr="00A925EA">
        <w:rPr>
          <w:rFonts w:ascii="Arial" w:hAnsi="Arial" w:cs="Arial"/>
          <w:sz w:val="22"/>
          <w:szCs w:val="22"/>
        </w:rPr>
        <w:t xml:space="preserve">intention. </w:t>
      </w:r>
      <w:r w:rsidR="00E92307" w:rsidRPr="00A925EA">
        <w:rPr>
          <w:rFonts w:ascii="Arial" w:hAnsi="Arial" w:cs="Arial"/>
          <w:sz w:val="22"/>
          <w:szCs w:val="22"/>
        </w:rPr>
        <w:t xml:space="preserve">To clarify, if </w:t>
      </w:r>
      <w:r w:rsidR="00011BD7" w:rsidRPr="00A925EA">
        <w:rPr>
          <w:rFonts w:ascii="Arial" w:hAnsi="Arial" w:cs="Arial"/>
          <w:sz w:val="22"/>
          <w:szCs w:val="22"/>
        </w:rPr>
        <w:t xml:space="preserve">the intention is to interview informants who have a unique perspective on a particular historical event or way of life, and the </w:t>
      </w:r>
      <w:r w:rsidR="00B23563" w:rsidRPr="00A925EA">
        <w:rPr>
          <w:rFonts w:ascii="Arial" w:hAnsi="Arial" w:cs="Arial"/>
          <w:sz w:val="22"/>
          <w:szCs w:val="22"/>
        </w:rPr>
        <w:t xml:space="preserve">scholar </w:t>
      </w:r>
      <w:r w:rsidR="00011BD7" w:rsidRPr="00A925EA">
        <w:rPr>
          <w:rFonts w:ascii="Arial" w:hAnsi="Arial" w:cs="Arial"/>
          <w:sz w:val="22"/>
          <w:szCs w:val="22"/>
        </w:rPr>
        <w:t xml:space="preserve">also intends to let the informant’s stories stand on their own as a “testimonio”, with no </w:t>
      </w:r>
      <w:r w:rsidR="009A7F54" w:rsidRPr="00A925EA">
        <w:rPr>
          <w:rFonts w:ascii="Arial" w:hAnsi="Arial" w:cs="Arial"/>
          <w:sz w:val="22"/>
          <w:szCs w:val="22"/>
        </w:rPr>
        <w:t xml:space="preserve">generalizable </w:t>
      </w:r>
      <w:r w:rsidR="00011BD7" w:rsidRPr="00A925EA">
        <w:rPr>
          <w:rFonts w:ascii="Arial" w:hAnsi="Arial" w:cs="Arial"/>
          <w:sz w:val="22"/>
          <w:szCs w:val="22"/>
        </w:rPr>
        <w:t xml:space="preserve">analysis, </w:t>
      </w:r>
      <w:r w:rsidR="00370971" w:rsidRPr="00A925EA">
        <w:rPr>
          <w:rFonts w:ascii="Arial" w:hAnsi="Arial" w:cs="Arial"/>
          <w:sz w:val="22"/>
          <w:szCs w:val="22"/>
        </w:rPr>
        <w:t xml:space="preserve">or in an archive, </w:t>
      </w:r>
      <w:r w:rsidR="00011BD7" w:rsidRPr="00A925EA">
        <w:rPr>
          <w:rFonts w:ascii="Arial" w:hAnsi="Arial" w:cs="Arial"/>
          <w:sz w:val="22"/>
          <w:szCs w:val="22"/>
        </w:rPr>
        <w:t xml:space="preserve">the </w:t>
      </w:r>
      <w:r w:rsidR="00B23563" w:rsidRPr="00A925EA">
        <w:rPr>
          <w:rFonts w:ascii="Arial" w:hAnsi="Arial" w:cs="Arial"/>
          <w:sz w:val="22"/>
          <w:szCs w:val="22"/>
        </w:rPr>
        <w:t xml:space="preserve">study </w:t>
      </w:r>
      <w:r w:rsidR="00011BD7" w:rsidRPr="00A925EA">
        <w:rPr>
          <w:rFonts w:ascii="Arial" w:hAnsi="Arial" w:cs="Arial"/>
          <w:sz w:val="22"/>
          <w:szCs w:val="22"/>
        </w:rPr>
        <w:t>most likely</w:t>
      </w:r>
      <w:r w:rsidR="00B23563" w:rsidRPr="00A925EA">
        <w:rPr>
          <w:rFonts w:ascii="Arial" w:hAnsi="Arial" w:cs="Arial"/>
          <w:sz w:val="22"/>
          <w:szCs w:val="22"/>
        </w:rPr>
        <w:t xml:space="preserve"> qualifies as</w:t>
      </w:r>
      <w:r w:rsidR="00011BD7" w:rsidRPr="00A925EA">
        <w:rPr>
          <w:rFonts w:ascii="Arial" w:hAnsi="Arial" w:cs="Arial"/>
          <w:sz w:val="22"/>
          <w:szCs w:val="22"/>
        </w:rPr>
        <w:t xml:space="preserve"> oral history</w:t>
      </w:r>
      <w:r w:rsidR="00E92307" w:rsidRPr="00A925EA">
        <w:rPr>
          <w:rFonts w:ascii="Arial" w:hAnsi="Arial" w:cs="Arial"/>
          <w:sz w:val="22"/>
          <w:szCs w:val="22"/>
        </w:rPr>
        <w:t xml:space="preserve"> and </w:t>
      </w:r>
      <w:r w:rsidR="0024185F" w:rsidRPr="00A925EA">
        <w:rPr>
          <w:rFonts w:ascii="Arial" w:hAnsi="Arial" w:cs="Arial"/>
          <w:sz w:val="22"/>
          <w:szCs w:val="22"/>
        </w:rPr>
        <w:t xml:space="preserve">is </w:t>
      </w:r>
      <w:r w:rsidR="00E92307" w:rsidRPr="00A925EA">
        <w:rPr>
          <w:rFonts w:ascii="Arial" w:hAnsi="Arial" w:cs="Arial"/>
          <w:sz w:val="22"/>
          <w:szCs w:val="22"/>
        </w:rPr>
        <w:t xml:space="preserve">not </w:t>
      </w:r>
      <w:r w:rsidR="0024185F" w:rsidRPr="00A925EA">
        <w:rPr>
          <w:rFonts w:ascii="Arial" w:hAnsi="Arial" w:cs="Arial"/>
          <w:sz w:val="22"/>
          <w:szCs w:val="22"/>
        </w:rPr>
        <w:t xml:space="preserve">considered to be </w:t>
      </w:r>
      <w:r w:rsidR="00E92307" w:rsidRPr="00A925EA">
        <w:rPr>
          <w:rFonts w:ascii="Arial" w:hAnsi="Arial" w:cs="Arial"/>
          <w:sz w:val="22"/>
          <w:szCs w:val="22"/>
        </w:rPr>
        <w:t>human subjects research</w:t>
      </w:r>
      <w:r w:rsidR="00011BD7" w:rsidRPr="00A925EA">
        <w:rPr>
          <w:rFonts w:ascii="Arial" w:hAnsi="Arial" w:cs="Arial"/>
          <w:sz w:val="22"/>
          <w:szCs w:val="22"/>
        </w:rPr>
        <w:t>.</w:t>
      </w:r>
      <w:r w:rsidR="00D57826" w:rsidRPr="00A925EA">
        <w:rPr>
          <w:rFonts w:ascii="Arial" w:hAnsi="Arial" w:cs="Arial"/>
          <w:sz w:val="22"/>
          <w:szCs w:val="22"/>
        </w:rPr>
        <w:t xml:space="preserve"> </w:t>
      </w:r>
    </w:p>
    <w:p w14:paraId="2D4CC3C1" w14:textId="31BE72AA" w:rsidR="00D57826" w:rsidRPr="00A925EA" w:rsidRDefault="00D57826" w:rsidP="00EA32A8">
      <w:pPr>
        <w:spacing w:after="120"/>
        <w:rPr>
          <w:rFonts w:ascii="Arial" w:hAnsi="Arial" w:cs="Arial"/>
          <w:sz w:val="22"/>
          <w:szCs w:val="22"/>
        </w:rPr>
      </w:pPr>
      <w:r w:rsidRPr="00A925EA">
        <w:rPr>
          <w:rFonts w:ascii="Arial" w:hAnsi="Arial" w:cs="Arial"/>
          <w:sz w:val="22"/>
          <w:szCs w:val="22"/>
        </w:rPr>
        <w:t xml:space="preserve">If the surveys or interviews are conducted with the intention of comparing, contrasting, or establishing commonalities between different segments or among members of the same segment, </w:t>
      </w:r>
      <w:r w:rsidR="0024185F" w:rsidRPr="00A925EA">
        <w:rPr>
          <w:rFonts w:ascii="Arial" w:hAnsi="Arial" w:cs="Arial"/>
          <w:sz w:val="22"/>
          <w:szCs w:val="22"/>
        </w:rPr>
        <w:t xml:space="preserve">then the activity qualifies as human subjects research and </w:t>
      </w:r>
      <w:r w:rsidRPr="00A925EA">
        <w:rPr>
          <w:rFonts w:ascii="Arial" w:hAnsi="Arial" w:cs="Arial"/>
          <w:sz w:val="22"/>
          <w:szCs w:val="22"/>
        </w:rPr>
        <w:t xml:space="preserve">the </w:t>
      </w:r>
      <w:r w:rsidR="00B23563" w:rsidRPr="00A925EA">
        <w:rPr>
          <w:rFonts w:ascii="Arial" w:hAnsi="Arial" w:cs="Arial"/>
          <w:sz w:val="22"/>
          <w:szCs w:val="22"/>
        </w:rPr>
        <w:t xml:space="preserve">study </w:t>
      </w:r>
      <w:r w:rsidRPr="00A925EA">
        <w:rPr>
          <w:rFonts w:ascii="Arial" w:hAnsi="Arial" w:cs="Arial"/>
          <w:sz w:val="22"/>
          <w:szCs w:val="22"/>
        </w:rPr>
        <w:t>will require IRB review</w:t>
      </w:r>
      <w:r w:rsidR="0024185F" w:rsidRPr="00A925EA">
        <w:rPr>
          <w:rFonts w:ascii="Arial" w:hAnsi="Arial" w:cs="Arial"/>
          <w:sz w:val="22"/>
          <w:szCs w:val="22"/>
        </w:rPr>
        <w:t xml:space="preserve"> and approval</w:t>
      </w:r>
      <w:r w:rsidRPr="00A925EA">
        <w:rPr>
          <w:rFonts w:ascii="Arial" w:hAnsi="Arial" w:cs="Arial"/>
          <w:sz w:val="22"/>
          <w:szCs w:val="22"/>
        </w:rPr>
        <w:t>.</w:t>
      </w:r>
    </w:p>
    <w:p w14:paraId="74FE7F94" w14:textId="5B67728B" w:rsidR="00D57826" w:rsidRDefault="00D57826" w:rsidP="00EA32A8">
      <w:pPr>
        <w:spacing w:after="120"/>
        <w:rPr>
          <w:rFonts w:ascii="Arial" w:hAnsi="Arial" w:cs="Arial"/>
          <w:sz w:val="22"/>
          <w:szCs w:val="22"/>
        </w:rPr>
      </w:pPr>
      <w:r w:rsidRPr="00A925EA">
        <w:rPr>
          <w:rFonts w:ascii="Arial" w:hAnsi="Arial" w:cs="Arial"/>
          <w:sz w:val="22"/>
          <w:szCs w:val="22"/>
        </w:rPr>
        <w:t>Histor</w:t>
      </w:r>
      <w:r w:rsidR="00C24328" w:rsidRPr="00A925EA">
        <w:rPr>
          <w:rFonts w:ascii="Arial" w:hAnsi="Arial" w:cs="Arial"/>
          <w:sz w:val="22"/>
          <w:szCs w:val="22"/>
        </w:rPr>
        <w:t>ians explain</w:t>
      </w:r>
      <w:r w:rsidR="00B23563" w:rsidRPr="00A925EA">
        <w:rPr>
          <w:rFonts w:ascii="Arial" w:hAnsi="Arial" w:cs="Arial"/>
          <w:sz w:val="22"/>
          <w:szCs w:val="22"/>
        </w:rPr>
        <w:t xml:space="preserve"> or highlight</w:t>
      </w:r>
      <w:r w:rsidR="00C24328" w:rsidRPr="00A925EA">
        <w:rPr>
          <w:rFonts w:ascii="Arial" w:hAnsi="Arial" w:cs="Arial"/>
          <w:sz w:val="22"/>
          <w:szCs w:val="22"/>
        </w:rPr>
        <w:t xml:space="preserve"> a particular past;</w:t>
      </w:r>
      <w:r w:rsidRPr="00A925EA">
        <w:rPr>
          <w:rFonts w:ascii="Arial" w:hAnsi="Arial" w:cs="Arial"/>
          <w:sz w:val="22"/>
          <w:szCs w:val="22"/>
        </w:rPr>
        <w:t xml:space="preserve"> they do not create general explanations about all that has happened in the past, nor do they predict the future. </w:t>
      </w:r>
      <w:r w:rsidR="00C24328" w:rsidRPr="00A925EA">
        <w:rPr>
          <w:rFonts w:ascii="Arial" w:hAnsi="Arial" w:cs="Arial"/>
          <w:sz w:val="22"/>
          <w:szCs w:val="22"/>
        </w:rPr>
        <w:t>Moreover, oral history narrators are not anonymous individuals, selected as part of a random sample for the purposes of a survey. Interviewees are selected because of their personal relationship</w:t>
      </w:r>
      <w:r w:rsidR="00E92307" w:rsidRPr="00A925EA">
        <w:rPr>
          <w:rFonts w:ascii="Arial" w:hAnsi="Arial" w:cs="Arial"/>
          <w:sz w:val="22"/>
          <w:szCs w:val="22"/>
        </w:rPr>
        <w:t xml:space="preserve"> or connection</w:t>
      </w:r>
      <w:r w:rsidR="00C24328" w:rsidRPr="00A925EA">
        <w:rPr>
          <w:rFonts w:ascii="Arial" w:hAnsi="Arial" w:cs="Arial"/>
          <w:sz w:val="22"/>
          <w:szCs w:val="22"/>
        </w:rPr>
        <w:t xml:space="preserve"> to the topic under investigation. An oral history interview provides </w:t>
      </w:r>
      <w:r w:rsidR="00B23563" w:rsidRPr="00A925EA">
        <w:rPr>
          <w:rFonts w:ascii="Arial" w:hAnsi="Arial" w:cs="Arial"/>
          <w:sz w:val="22"/>
          <w:szCs w:val="22"/>
        </w:rPr>
        <w:t xml:space="preserve">a </w:t>
      </w:r>
      <w:r w:rsidR="00C24328" w:rsidRPr="00A925EA">
        <w:rPr>
          <w:rFonts w:ascii="Arial" w:hAnsi="Arial" w:cs="Arial"/>
          <w:sz w:val="22"/>
          <w:szCs w:val="22"/>
        </w:rPr>
        <w:t xml:space="preserve">person’s unique perspective. A series of oral history interviews offers up a number of particular, individual perspectives on the topic, not information that may be generalized to all </w:t>
      </w:r>
      <w:r w:rsidR="0024185F" w:rsidRPr="00A925EA">
        <w:rPr>
          <w:rFonts w:ascii="Arial" w:hAnsi="Arial" w:cs="Arial"/>
          <w:sz w:val="22"/>
          <w:szCs w:val="22"/>
        </w:rPr>
        <w:t>persons who were</w:t>
      </w:r>
      <w:r w:rsidR="008762CF" w:rsidRPr="00A925EA">
        <w:rPr>
          <w:rFonts w:ascii="Arial" w:hAnsi="Arial" w:cs="Arial"/>
          <w:sz w:val="22"/>
          <w:szCs w:val="22"/>
        </w:rPr>
        <w:t xml:space="preserve"> involved</w:t>
      </w:r>
      <w:r w:rsidR="0024185F" w:rsidRPr="00A925EA">
        <w:rPr>
          <w:rFonts w:ascii="Arial" w:hAnsi="Arial" w:cs="Arial"/>
          <w:sz w:val="22"/>
          <w:szCs w:val="22"/>
        </w:rPr>
        <w:t xml:space="preserve"> </w:t>
      </w:r>
      <w:r w:rsidR="00C24328" w:rsidRPr="00A925EA">
        <w:rPr>
          <w:rFonts w:ascii="Arial" w:hAnsi="Arial" w:cs="Arial"/>
          <w:sz w:val="22"/>
          <w:szCs w:val="22"/>
        </w:rPr>
        <w:t xml:space="preserve">in </w:t>
      </w:r>
      <w:r w:rsidR="008762CF" w:rsidRPr="00A925EA">
        <w:rPr>
          <w:rFonts w:ascii="Arial" w:hAnsi="Arial" w:cs="Arial"/>
          <w:sz w:val="22"/>
          <w:szCs w:val="22"/>
        </w:rPr>
        <w:t xml:space="preserve">an </w:t>
      </w:r>
      <w:r w:rsidR="00410364" w:rsidRPr="00A925EA">
        <w:rPr>
          <w:rFonts w:ascii="Arial" w:hAnsi="Arial" w:cs="Arial"/>
          <w:sz w:val="22"/>
          <w:szCs w:val="22"/>
        </w:rPr>
        <w:t>e</w:t>
      </w:r>
      <w:r w:rsidR="00C24328" w:rsidRPr="00A925EA">
        <w:rPr>
          <w:rFonts w:ascii="Arial" w:hAnsi="Arial" w:cs="Arial"/>
          <w:sz w:val="22"/>
          <w:szCs w:val="22"/>
        </w:rPr>
        <w:t xml:space="preserve">vent or </w:t>
      </w:r>
      <w:r w:rsidR="0024185F" w:rsidRPr="00A925EA">
        <w:rPr>
          <w:rFonts w:ascii="Arial" w:hAnsi="Arial" w:cs="Arial"/>
          <w:sz w:val="22"/>
          <w:szCs w:val="22"/>
        </w:rPr>
        <w:t xml:space="preserve">living at the </w:t>
      </w:r>
      <w:r w:rsidR="00C24328" w:rsidRPr="00A925EA">
        <w:rPr>
          <w:rFonts w:ascii="Arial" w:hAnsi="Arial" w:cs="Arial"/>
          <w:sz w:val="22"/>
          <w:szCs w:val="22"/>
        </w:rPr>
        <w:t>time under investigation.</w:t>
      </w:r>
      <w:bookmarkStart w:id="0" w:name="_GoBack"/>
      <w:bookmarkEnd w:id="0"/>
      <w:r w:rsidR="00C24328">
        <w:rPr>
          <w:rFonts w:ascii="Arial" w:hAnsi="Arial" w:cs="Arial"/>
          <w:sz w:val="22"/>
          <w:szCs w:val="22"/>
        </w:rPr>
        <w:t xml:space="preserve"> </w:t>
      </w:r>
    </w:p>
    <w:p w14:paraId="62714102" w14:textId="0B06CB59" w:rsidR="00C24328" w:rsidRDefault="00C24328" w:rsidP="00EA32A8">
      <w:pPr>
        <w:spacing w:after="120"/>
        <w:rPr>
          <w:rFonts w:ascii="Arial" w:hAnsi="Arial" w:cs="Arial"/>
          <w:sz w:val="22"/>
          <w:szCs w:val="22"/>
        </w:rPr>
      </w:pPr>
      <w:r>
        <w:rPr>
          <w:rFonts w:ascii="Arial" w:hAnsi="Arial" w:cs="Arial"/>
          <w:sz w:val="22"/>
          <w:szCs w:val="22"/>
        </w:rPr>
        <w:t xml:space="preserve">Oral history </w:t>
      </w:r>
      <w:r w:rsidR="000F7594">
        <w:rPr>
          <w:rFonts w:ascii="Arial" w:hAnsi="Arial" w:cs="Arial"/>
          <w:sz w:val="22"/>
          <w:szCs w:val="22"/>
        </w:rPr>
        <w:t>interviews</w:t>
      </w:r>
      <w:r w:rsidR="00C51EF5" w:rsidRPr="00C51EF5">
        <w:rPr>
          <w:rFonts w:ascii="Arial" w:hAnsi="Arial" w:cs="Arial"/>
          <w:sz w:val="22"/>
          <w:szCs w:val="22"/>
        </w:rPr>
        <w:t xml:space="preserve"> </w:t>
      </w:r>
      <w:r w:rsidR="00C51EF5">
        <w:rPr>
          <w:rFonts w:ascii="Arial" w:hAnsi="Arial" w:cs="Arial"/>
          <w:sz w:val="22"/>
          <w:szCs w:val="22"/>
        </w:rPr>
        <w:t xml:space="preserve">are customarily not generated with an expectation that they will be analyzed </w:t>
      </w:r>
      <w:r w:rsidR="0024185F">
        <w:rPr>
          <w:rFonts w:ascii="Arial" w:hAnsi="Arial" w:cs="Arial"/>
          <w:sz w:val="22"/>
          <w:szCs w:val="22"/>
        </w:rPr>
        <w:t xml:space="preserve">as </w:t>
      </w:r>
      <w:r w:rsidR="00C51EF5">
        <w:rPr>
          <w:rFonts w:ascii="Arial" w:hAnsi="Arial" w:cs="Arial"/>
          <w:sz w:val="22"/>
          <w:szCs w:val="22"/>
        </w:rPr>
        <w:t xml:space="preserve">qualitative </w:t>
      </w:r>
      <w:r w:rsidR="0024185F">
        <w:rPr>
          <w:rFonts w:ascii="Arial" w:hAnsi="Arial" w:cs="Arial"/>
          <w:sz w:val="22"/>
          <w:szCs w:val="22"/>
        </w:rPr>
        <w:t xml:space="preserve">human subjects </w:t>
      </w:r>
      <w:r w:rsidR="00C51EF5">
        <w:rPr>
          <w:rFonts w:ascii="Arial" w:hAnsi="Arial" w:cs="Arial"/>
          <w:sz w:val="22"/>
          <w:szCs w:val="22"/>
        </w:rPr>
        <w:t>data. They</w:t>
      </w:r>
      <w:r w:rsidR="000F7594">
        <w:rPr>
          <w:rFonts w:ascii="Arial" w:hAnsi="Arial" w:cs="Arial"/>
          <w:sz w:val="22"/>
          <w:szCs w:val="22"/>
        </w:rPr>
        <w:t xml:space="preserve"> are</w:t>
      </w:r>
      <w:r w:rsidR="00C51EF5">
        <w:rPr>
          <w:rFonts w:ascii="Arial" w:hAnsi="Arial" w:cs="Arial"/>
          <w:sz w:val="22"/>
          <w:szCs w:val="22"/>
        </w:rPr>
        <w:t xml:space="preserve"> instead created as primary-source historical documents which reflect the experiences of specific people, and they stand alone as unique </w:t>
      </w:r>
      <w:r w:rsidR="00EE405B">
        <w:rPr>
          <w:rFonts w:ascii="Arial" w:hAnsi="Arial" w:cs="Arial"/>
          <w:sz w:val="22"/>
          <w:szCs w:val="22"/>
        </w:rPr>
        <w:t>viewpoints</w:t>
      </w:r>
      <w:r w:rsidR="00C51EF5">
        <w:rPr>
          <w:rFonts w:ascii="Arial" w:hAnsi="Arial" w:cs="Arial"/>
          <w:sz w:val="22"/>
          <w:szCs w:val="22"/>
        </w:rPr>
        <w:t xml:space="preserve">. As a methodology, oral history focuses on the individualized </w:t>
      </w:r>
      <w:r w:rsidR="00EE405B">
        <w:rPr>
          <w:rFonts w:ascii="Arial" w:hAnsi="Arial" w:cs="Arial"/>
          <w:sz w:val="22"/>
          <w:szCs w:val="22"/>
        </w:rPr>
        <w:t xml:space="preserve">perspective </w:t>
      </w:r>
      <w:r w:rsidR="00C51EF5">
        <w:rPr>
          <w:rFonts w:ascii="Arial" w:hAnsi="Arial" w:cs="Arial"/>
          <w:sz w:val="22"/>
          <w:szCs w:val="22"/>
        </w:rPr>
        <w:t xml:space="preserve">rather than on </w:t>
      </w:r>
      <w:r w:rsidR="0024185F">
        <w:rPr>
          <w:rFonts w:ascii="Arial" w:hAnsi="Arial" w:cs="Arial"/>
          <w:sz w:val="22"/>
          <w:szCs w:val="22"/>
        </w:rPr>
        <w:t xml:space="preserve">comparative or cumulative analyses that are seen as </w:t>
      </w:r>
      <w:r w:rsidR="00C51EF5">
        <w:rPr>
          <w:rFonts w:ascii="Arial" w:hAnsi="Arial" w:cs="Arial"/>
          <w:sz w:val="22"/>
          <w:szCs w:val="22"/>
        </w:rPr>
        <w:t>generalizable</w:t>
      </w:r>
      <w:r w:rsidR="0024185F">
        <w:rPr>
          <w:rFonts w:ascii="Arial" w:hAnsi="Arial" w:cs="Arial"/>
          <w:sz w:val="22"/>
          <w:szCs w:val="22"/>
        </w:rPr>
        <w:t xml:space="preserve"> to a broader population</w:t>
      </w:r>
      <w:r w:rsidR="00C51EF5">
        <w:rPr>
          <w:rFonts w:ascii="Arial" w:hAnsi="Arial" w:cs="Arial"/>
          <w:sz w:val="22"/>
          <w:szCs w:val="22"/>
        </w:rPr>
        <w:t>.</w:t>
      </w:r>
    </w:p>
    <w:p w14:paraId="2DD7C777" w14:textId="35916157" w:rsidR="00C24328" w:rsidRDefault="00C24328" w:rsidP="00EA32A8">
      <w:pPr>
        <w:spacing w:after="120"/>
        <w:rPr>
          <w:rFonts w:ascii="Arial" w:hAnsi="Arial" w:cs="Arial"/>
          <w:sz w:val="22"/>
          <w:szCs w:val="22"/>
        </w:rPr>
      </w:pPr>
      <w:r>
        <w:rPr>
          <w:rFonts w:ascii="Arial" w:hAnsi="Arial" w:cs="Arial"/>
          <w:sz w:val="22"/>
          <w:szCs w:val="22"/>
        </w:rPr>
        <w:t xml:space="preserve">It is primarily on the grounds that oral history interviews, in general, are not designed to contribute to “generalizable knowledge” that they are not subject to the requirements of 45 CFR 46 </w:t>
      </w:r>
      <w:r w:rsidR="0024185F">
        <w:rPr>
          <w:rFonts w:ascii="Arial" w:hAnsi="Arial" w:cs="Arial"/>
          <w:sz w:val="22"/>
          <w:szCs w:val="22"/>
        </w:rPr>
        <w:t xml:space="preserve">(i.e., they are not considered to be </w:t>
      </w:r>
      <w:r w:rsidR="00504891">
        <w:rPr>
          <w:rFonts w:ascii="Arial" w:hAnsi="Arial" w:cs="Arial"/>
          <w:sz w:val="22"/>
          <w:szCs w:val="22"/>
        </w:rPr>
        <w:t>human subjects research</w:t>
      </w:r>
      <w:r w:rsidR="0024185F">
        <w:rPr>
          <w:rFonts w:ascii="Arial" w:hAnsi="Arial" w:cs="Arial"/>
          <w:sz w:val="22"/>
          <w:szCs w:val="22"/>
        </w:rPr>
        <w:t>)</w:t>
      </w:r>
      <w:r>
        <w:rPr>
          <w:rFonts w:ascii="Arial" w:hAnsi="Arial" w:cs="Arial"/>
          <w:sz w:val="22"/>
          <w:szCs w:val="22"/>
        </w:rPr>
        <w:t>.</w:t>
      </w:r>
      <w:r w:rsidR="00AF58FC">
        <w:rPr>
          <w:rFonts w:ascii="Arial" w:hAnsi="Arial" w:cs="Arial"/>
          <w:sz w:val="22"/>
          <w:szCs w:val="22"/>
        </w:rPr>
        <w:t xml:space="preserve"> </w:t>
      </w:r>
    </w:p>
    <w:p w14:paraId="4A0BDC9F" w14:textId="77777777" w:rsidR="00AF58FC" w:rsidRDefault="00AF58FC" w:rsidP="00EA32A8">
      <w:pPr>
        <w:spacing w:after="120"/>
        <w:rPr>
          <w:rFonts w:ascii="Arial" w:hAnsi="Arial" w:cs="Arial"/>
          <w:sz w:val="22"/>
          <w:szCs w:val="22"/>
        </w:rPr>
      </w:pPr>
      <w:r>
        <w:rPr>
          <w:rFonts w:ascii="Arial" w:hAnsi="Arial" w:cs="Arial"/>
          <w:sz w:val="22"/>
          <w:szCs w:val="22"/>
        </w:rPr>
        <w:t>Oral history interviews that are intended to contribute to generalizable knowledge or include vulnerable populations cannot be excluded from IRB review.</w:t>
      </w:r>
    </w:p>
    <w:p w14:paraId="441BA909" w14:textId="77777777" w:rsidR="00633C3A" w:rsidRPr="00D22609" w:rsidRDefault="00633C3A" w:rsidP="00633C3A">
      <w:pPr>
        <w:pStyle w:val="Heading2"/>
        <w:rPr>
          <w:i w:val="0"/>
          <w:sz w:val="24"/>
        </w:rPr>
      </w:pPr>
      <w:r w:rsidRPr="00D22609">
        <w:rPr>
          <w:i w:val="0"/>
          <w:sz w:val="24"/>
        </w:rPr>
        <w:lastRenderedPageBreak/>
        <w:t>Specific Procedures</w:t>
      </w:r>
    </w:p>
    <w:p w14:paraId="74309FF9" w14:textId="25502398" w:rsidR="00633C3A" w:rsidRPr="000554D3" w:rsidRDefault="00633C3A" w:rsidP="00633C3A">
      <w:pPr>
        <w:pStyle w:val="Heading2"/>
        <w:rPr>
          <w:i w:val="0"/>
          <w:iCs w:val="0"/>
          <w:sz w:val="24"/>
        </w:rPr>
      </w:pPr>
      <w:r w:rsidRPr="00D22609">
        <w:rPr>
          <w:i w:val="0"/>
          <w:sz w:val="24"/>
        </w:rPr>
        <w:t>1.1</w:t>
      </w:r>
      <w:r w:rsidR="00E92307">
        <w:rPr>
          <w:i w:val="0"/>
          <w:sz w:val="24"/>
        </w:rPr>
        <w:t xml:space="preserve">  </w:t>
      </w:r>
      <w:r>
        <w:rPr>
          <w:i w:val="0"/>
          <w:iCs w:val="0"/>
          <w:sz w:val="24"/>
        </w:rPr>
        <w:t>Definitions</w:t>
      </w:r>
    </w:p>
    <w:p w14:paraId="08760E45" w14:textId="7A551B0A" w:rsidR="0037177C" w:rsidRDefault="00633C3A" w:rsidP="00DE72CA">
      <w:pPr>
        <w:rPr>
          <w:rFonts w:ascii="Arial" w:hAnsi="Arial" w:cs="Arial"/>
          <w:sz w:val="22"/>
          <w:szCs w:val="22"/>
        </w:rPr>
      </w:pPr>
      <w:r w:rsidRPr="000554D3">
        <w:rPr>
          <w:rFonts w:ascii="Arial" w:hAnsi="Arial" w:cs="Arial"/>
          <w:sz w:val="22"/>
          <w:szCs w:val="22"/>
        </w:rPr>
        <w:t>1.</w:t>
      </w:r>
      <w:r>
        <w:rPr>
          <w:rFonts w:ascii="Arial" w:hAnsi="Arial" w:cs="Arial"/>
          <w:sz w:val="22"/>
          <w:szCs w:val="22"/>
        </w:rPr>
        <w:t>1</w:t>
      </w:r>
      <w:r w:rsidRPr="000554D3">
        <w:rPr>
          <w:rFonts w:ascii="Arial" w:hAnsi="Arial" w:cs="Arial"/>
          <w:sz w:val="22"/>
          <w:szCs w:val="22"/>
        </w:rPr>
        <w:t>.1</w:t>
      </w:r>
      <w:r w:rsidR="00E92307">
        <w:rPr>
          <w:rFonts w:ascii="Arial" w:hAnsi="Arial" w:cs="Arial"/>
          <w:sz w:val="22"/>
          <w:szCs w:val="22"/>
        </w:rPr>
        <w:t xml:space="preserve"> </w:t>
      </w:r>
      <w:r w:rsidRPr="000554D3">
        <w:rPr>
          <w:rFonts w:ascii="Arial" w:hAnsi="Arial" w:cs="Arial"/>
          <w:sz w:val="22"/>
          <w:szCs w:val="22"/>
        </w:rPr>
        <w:t xml:space="preserve"> </w:t>
      </w:r>
      <w:r w:rsidR="00C24328">
        <w:rPr>
          <w:rFonts w:ascii="Arial" w:hAnsi="Arial" w:cs="Arial"/>
          <w:sz w:val="22"/>
          <w:szCs w:val="22"/>
        </w:rPr>
        <w:t xml:space="preserve">Generalizable knowledge: </w:t>
      </w:r>
      <w:r w:rsidR="00ED5191">
        <w:rPr>
          <w:rFonts w:ascii="Arial" w:hAnsi="Arial" w:cs="Arial"/>
          <w:sz w:val="22"/>
          <w:szCs w:val="22"/>
        </w:rPr>
        <w:t xml:space="preserve">Knowledge </w:t>
      </w:r>
      <w:r w:rsidR="002542C1">
        <w:rPr>
          <w:rFonts w:ascii="Arial" w:hAnsi="Arial" w:cs="Arial"/>
          <w:sz w:val="22"/>
          <w:szCs w:val="22"/>
        </w:rPr>
        <w:t xml:space="preserve">that </w:t>
      </w:r>
      <w:r w:rsidR="00ED5191">
        <w:rPr>
          <w:rFonts w:ascii="Arial" w:hAnsi="Arial" w:cs="Arial"/>
          <w:sz w:val="22"/>
          <w:szCs w:val="22"/>
        </w:rPr>
        <w:t>contributes to a theoretical framework of an established body of knowledge</w:t>
      </w:r>
      <w:r w:rsidR="008B7342">
        <w:rPr>
          <w:rFonts w:ascii="Arial" w:hAnsi="Arial" w:cs="Arial"/>
          <w:sz w:val="22"/>
          <w:szCs w:val="22"/>
        </w:rPr>
        <w:t xml:space="preserve">, where results are expected to be generalized to a larger population beyond the site of data collection or </w:t>
      </w:r>
      <w:r w:rsidR="0024185F">
        <w:rPr>
          <w:rFonts w:ascii="Arial" w:hAnsi="Arial" w:cs="Arial"/>
          <w:sz w:val="22"/>
          <w:szCs w:val="22"/>
        </w:rPr>
        <w:t>specific persons</w:t>
      </w:r>
      <w:r w:rsidR="008B7342">
        <w:rPr>
          <w:rFonts w:ascii="Arial" w:hAnsi="Arial" w:cs="Arial"/>
          <w:sz w:val="22"/>
          <w:szCs w:val="22"/>
        </w:rPr>
        <w:t xml:space="preserve"> studied</w:t>
      </w:r>
      <w:r w:rsidR="0024185F">
        <w:rPr>
          <w:rFonts w:ascii="Arial" w:hAnsi="Arial" w:cs="Arial"/>
          <w:sz w:val="22"/>
          <w:szCs w:val="22"/>
        </w:rPr>
        <w:t>,</w:t>
      </w:r>
      <w:r w:rsidR="008B7342">
        <w:rPr>
          <w:rFonts w:ascii="Arial" w:hAnsi="Arial" w:cs="Arial"/>
          <w:sz w:val="22"/>
          <w:szCs w:val="22"/>
        </w:rPr>
        <w:t xml:space="preserve"> or results are intended to be replicated in other settin</w:t>
      </w:r>
      <w:r w:rsidR="4C39EB07">
        <w:rPr>
          <w:rFonts w:ascii="Arial" w:hAnsi="Arial" w:cs="Arial"/>
          <w:sz w:val="22"/>
          <w:szCs w:val="22"/>
        </w:rPr>
        <w:t>g</w:t>
      </w:r>
      <w:r w:rsidR="008B7342">
        <w:rPr>
          <w:rFonts w:ascii="Arial" w:hAnsi="Arial" w:cs="Arial"/>
          <w:sz w:val="22"/>
          <w:szCs w:val="22"/>
        </w:rPr>
        <w:t>s</w:t>
      </w:r>
      <w:r w:rsidR="00ED5191">
        <w:rPr>
          <w:rFonts w:ascii="Arial" w:hAnsi="Arial" w:cs="Arial"/>
          <w:sz w:val="22"/>
          <w:szCs w:val="22"/>
        </w:rPr>
        <w:t xml:space="preserve">. </w:t>
      </w:r>
    </w:p>
    <w:p w14:paraId="00A319A9" w14:textId="77777777" w:rsidR="00DE72CA" w:rsidRDefault="00DE72CA" w:rsidP="00DE72CA">
      <w:pPr>
        <w:rPr>
          <w:rFonts w:ascii="Arial" w:hAnsi="Arial" w:cs="Arial"/>
          <w:sz w:val="22"/>
          <w:szCs w:val="22"/>
        </w:rPr>
      </w:pPr>
    </w:p>
    <w:p w14:paraId="340E1574" w14:textId="233D4595" w:rsidR="00ED5191" w:rsidRDefault="00633C3A" w:rsidP="00DE72CA">
      <w:pPr>
        <w:rPr>
          <w:rFonts w:ascii="Arial" w:hAnsi="Arial" w:cs="Arial"/>
          <w:sz w:val="22"/>
          <w:szCs w:val="22"/>
        </w:rPr>
      </w:pPr>
      <w:r w:rsidRPr="00D91CB1">
        <w:rPr>
          <w:rFonts w:ascii="Arial" w:hAnsi="Arial" w:cs="Arial"/>
          <w:sz w:val="22"/>
          <w:szCs w:val="22"/>
        </w:rPr>
        <w:t>1.</w:t>
      </w:r>
      <w:r>
        <w:rPr>
          <w:rFonts w:ascii="Arial" w:hAnsi="Arial" w:cs="Arial"/>
          <w:sz w:val="22"/>
          <w:szCs w:val="22"/>
        </w:rPr>
        <w:t xml:space="preserve">1.2 </w:t>
      </w:r>
      <w:r w:rsidR="00E92307">
        <w:rPr>
          <w:rFonts w:ascii="Arial" w:hAnsi="Arial" w:cs="Arial"/>
          <w:sz w:val="22"/>
          <w:szCs w:val="22"/>
        </w:rPr>
        <w:t xml:space="preserve"> </w:t>
      </w:r>
      <w:r w:rsidR="00ED5191">
        <w:rPr>
          <w:rFonts w:ascii="Arial" w:hAnsi="Arial" w:cs="Arial"/>
          <w:sz w:val="22"/>
          <w:szCs w:val="22"/>
        </w:rPr>
        <w:t xml:space="preserve">Vulnerable populations: children, prisoners, pregnant </w:t>
      </w:r>
      <w:r w:rsidR="00F1318C">
        <w:rPr>
          <w:rFonts w:ascii="Arial" w:hAnsi="Arial" w:cs="Arial"/>
          <w:sz w:val="22"/>
          <w:szCs w:val="22"/>
        </w:rPr>
        <w:t>w</w:t>
      </w:r>
      <w:r w:rsidR="00ED5191">
        <w:rPr>
          <w:rFonts w:ascii="Arial" w:hAnsi="Arial" w:cs="Arial"/>
          <w:sz w:val="22"/>
          <w:szCs w:val="22"/>
        </w:rPr>
        <w:t>omen, mentally disabled persons or economically or educationally disadvantaged persons.</w:t>
      </w:r>
      <w:r w:rsidR="00AF58FC">
        <w:rPr>
          <w:rFonts w:ascii="Arial" w:hAnsi="Arial" w:cs="Arial"/>
          <w:sz w:val="22"/>
          <w:szCs w:val="22"/>
        </w:rPr>
        <w:t xml:space="preserve"> (OSU IRB policy RR-402 1.1.3)</w:t>
      </w:r>
    </w:p>
    <w:p w14:paraId="1B59D950" w14:textId="77777777" w:rsidR="00633C3A" w:rsidRPr="008B5088" w:rsidRDefault="00633C3A">
      <w:pPr>
        <w:rPr>
          <w:rFonts w:ascii="Arial" w:hAnsi="Arial" w:cs="Arial"/>
          <w:sz w:val="22"/>
          <w:szCs w:val="22"/>
        </w:rPr>
      </w:pPr>
    </w:p>
    <w:p w14:paraId="60F28131" w14:textId="2DFB50DC" w:rsidR="00633C3A" w:rsidRDefault="00633C3A" w:rsidP="00A925EA">
      <w:pPr>
        <w:pStyle w:val="Heading2"/>
        <w:spacing w:before="0" w:after="0"/>
        <w:rPr>
          <w:i w:val="0"/>
          <w:iCs w:val="0"/>
          <w:sz w:val="24"/>
        </w:rPr>
      </w:pPr>
      <w:bookmarkStart w:id="1" w:name="OLE_LINK1"/>
      <w:bookmarkStart w:id="2" w:name="OLE_LINK2"/>
      <w:r w:rsidRPr="008B5088">
        <w:rPr>
          <w:i w:val="0"/>
          <w:iCs w:val="0"/>
          <w:sz w:val="24"/>
        </w:rPr>
        <w:t xml:space="preserve">1.2  </w:t>
      </w:r>
      <w:bookmarkEnd w:id="1"/>
      <w:bookmarkEnd w:id="2"/>
      <w:r w:rsidR="00F1318C">
        <w:rPr>
          <w:i w:val="0"/>
          <w:iCs w:val="0"/>
          <w:sz w:val="24"/>
        </w:rPr>
        <w:t>Guidelines</w:t>
      </w:r>
    </w:p>
    <w:p w14:paraId="5253184E" w14:textId="77777777" w:rsidR="00F1318C" w:rsidRDefault="00F1318C" w:rsidP="00F1318C">
      <w:r>
        <w:t>1.2.1 Scholarly Research Projects:</w:t>
      </w:r>
    </w:p>
    <w:p w14:paraId="58D84A91" w14:textId="1867D656" w:rsidR="00F1318C" w:rsidRDefault="00F1318C" w:rsidP="391DD42A">
      <w:pPr>
        <w:numPr>
          <w:ilvl w:val="0"/>
          <w:numId w:val="9"/>
        </w:numPr>
      </w:pPr>
      <w:r>
        <w:t>Is the researcher conducting oral history interview(s) to gather first-hand information to test a</w:t>
      </w:r>
      <w:r w:rsidR="00752B41">
        <w:t xml:space="preserve"> generalized</w:t>
      </w:r>
      <w:r>
        <w:t xml:space="preserve"> hypothesis?</w:t>
      </w:r>
    </w:p>
    <w:p w14:paraId="7CB17B88" w14:textId="3EB26C32" w:rsidR="00F1318C" w:rsidRDefault="00F1318C" w:rsidP="00504891">
      <w:pPr>
        <w:numPr>
          <w:ilvl w:val="0"/>
          <w:numId w:val="9"/>
        </w:numPr>
      </w:pPr>
      <w:r>
        <w:t xml:space="preserve">Does the researcher plan to publish </w:t>
      </w:r>
      <w:r w:rsidR="00345C1A">
        <w:t>generalizable conclusions</w:t>
      </w:r>
      <w:r>
        <w:t xml:space="preserve"> in a scholarly thesis (undergraduate, Masters, or Ph.D. dissertation), journal, book, or peer-reviewed, publicly-available publication?</w:t>
      </w:r>
    </w:p>
    <w:p w14:paraId="3FDD0EF6" w14:textId="77777777" w:rsidR="00F1318C" w:rsidRDefault="00F1318C" w:rsidP="00F1318C"/>
    <w:p w14:paraId="1E93C544" w14:textId="7B3D3F99" w:rsidR="00F1318C" w:rsidRPr="00A925EA" w:rsidRDefault="00F1318C" w:rsidP="00A925EA">
      <w:pPr>
        <w:ind w:left="360"/>
      </w:pPr>
      <w:r>
        <w:t xml:space="preserve">If Yes to 1 </w:t>
      </w:r>
      <w:r w:rsidR="00671E6B" w:rsidRPr="00A925EA">
        <w:t xml:space="preserve">or </w:t>
      </w:r>
      <w:r w:rsidRPr="00A925EA">
        <w:t>2 the project is a systematic investigation designed to develop and contribute to generalizable knowledge and requires IRB review.</w:t>
      </w:r>
    </w:p>
    <w:p w14:paraId="260389A3" w14:textId="77777777" w:rsidR="00F1318C" w:rsidRPr="00A925EA" w:rsidRDefault="00F1318C" w:rsidP="00F1318C"/>
    <w:p w14:paraId="70C3F413" w14:textId="77777777" w:rsidR="00F1318C" w:rsidRPr="00A925EA" w:rsidRDefault="00F1318C" w:rsidP="00F1318C">
      <w:r w:rsidRPr="00A925EA">
        <w:t>1.2.2 Archival Collection and Preservation:</w:t>
      </w:r>
    </w:p>
    <w:p w14:paraId="28777025" w14:textId="77777777" w:rsidR="00F1318C" w:rsidRPr="00A925EA" w:rsidRDefault="00F1318C" w:rsidP="00504891">
      <w:pPr>
        <w:numPr>
          <w:ilvl w:val="0"/>
          <w:numId w:val="11"/>
        </w:numPr>
      </w:pPr>
      <w:r w:rsidRPr="00A925EA">
        <w:t>Is the researcher conducting oral history interview(s) to create or contribute to an archival collection of first-hand narratives about the past?</w:t>
      </w:r>
    </w:p>
    <w:p w14:paraId="0915FD02" w14:textId="3B628A50" w:rsidR="006172EA" w:rsidRPr="00A925EA" w:rsidRDefault="008B7342" w:rsidP="002542C1">
      <w:pPr>
        <w:numPr>
          <w:ilvl w:val="0"/>
          <w:numId w:val="11"/>
        </w:numPr>
      </w:pPr>
      <w:r w:rsidRPr="00A925EA">
        <w:t xml:space="preserve">If </w:t>
      </w:r>
      <w:r w:rsidR="006172EA" w:rsidRPr="00A925EA">
        <w:t xml:space="preserve">the researcher </w:t>
      </w:r>
      <w:r w:rsidRPr="00A925EA">
        <w:t xml:space="preserve">plans to </w:t>
      </w:r>
      <w:r w:rsidR="006172EA" w:rsidRPr="00A925EA">
        <w:t>analyze or interpret oral history</w:t>
      </w:r>
      <w:r w:rsidR="000F7594" w:rsidRPr="00A925EA">
        <w:t xml:space="preserve"> deposited in an archival setting</w:t>
      </w:r>
      <w:r w:rsidR="006172EA" w:rsidRPr="00A925EA">
        <w:t xml:space="preserve"> to construct a generalizable narrative about the past</w:t>
      </w:r>
      <w:r w:rsidRPr="00A925EA">
        <w:t>,</w:t>
      </w:r>
      <w:r w:rsidR="002542C1" w:rsidRPr="00A925EA">
        <w:t xml:space="preserve"> i</w:t>
      </w:r>
      <w:r w:rsidR="000F7594" w:rsidRPr="00A925EA">
        <w:t xml:space="preserve">s there a clearly stated record </w:t>
      </w:r>
      <w:r w:rsidRPr="00A925EA">
        <w:t>allowing</w:t>
      </w:r>
      <w:r w:rsidR="000F7594" w:rsidRPr="00A925EA">
        <w:t xml:space="preserve"> public access to the archived material?</w:t>
      </w:r>
    </w:p>
    <w:p w14:paraId="2B97E6BB" w14:textId="77777777" w:rsidR="006172EA" w:rsidRPr="00A925EA" w:rsidRDefault="006172EA" w:rsidP="00F1318C"/>
    <w:p w14:paraId="7D7B65D4" w14:textId="4E60EC2A" w:rsidR="006172EA" w:rsidRDefault="006172EA" w:rsidP="00F1318C">
      <w:r w:rsidRPr="00A925EA">
        <w:tab/>
        <w:t>If Yes to #1 and</w:t>
      </w:r>
      <w:r w:rsidR="002542C1" w:rsidRPr="00A925EA">
        <w:t>/or</w:t>
      </w:r>
      <w:r w:rsidRPr="00A925EA">
        <w:t xml:space="preserve"> </w:t>
      </w:r>
      <w:r w:rsidR="002542C1" w:rsidRPr="00A925EA">
        <w:t xml:space="preserve">yes </w:t>
      </w:r>
      <w:r w:rsidRPr="00A925EA">
        <w:t xml:space="preserve">to #2, </w:t>
      </w:r>
      <w:r w:rsidR="00671E6B" w:rsidRPr="00A925EA">
        <w:t xml:space="preserve">either </w:t>
      </w:r>
      <w:r w:rsidRPr="00A925EA">
        <w:t xml:space="preserve">the project is not a systematic investigation designed to develop and contribute to generalizable knowledge </w:t>
      </w:r>
      <w:r w:rsidR="7AFE41E8" w:rsidRPr="00A925EA">
        <w:t>or</w:t>
      </w:r>
      <w:r w:rsidR="00671E6B" w:rsidRPr="00A925EA">
        <w:t xml:space="preserve"> it</w:t>
      </w:r>
      <w:r w:rsidR="7AFE41E8" w:rsidRPr="00A925EA">
        <w:t xml:space="preserve"> has the required participants</w:t>
      </w:r>
      <w:r w:rsidR="008762CF" w:rsidRPr="00A925EA">
        <w:t>’</w:t>
      </w:r>
      <w:r w:rsidR="7AFE41E8" w:rsidRPr="00A925EA">
        <w:t xml:space="preserve"> consent for public use of contributed content </w:t>
      </w:r>
      <w:r w:rsidRPr="00A925EA">
        <w:t>and thus does not constitute research as defined by OHRP</w:t>
      </w:r>
      <w:r>
        <w:t xml:space="preserve"> guidelines. No IRB review is needed. Although the project will not undergo formal IRB review, investigators must be familiar with Principles and Best Practices for Oral History and ensure that project protocols adhere to these standards: </w:t>
      </w:r>
      <w:hyperlink r:id="rId5" w:history="1">
        <w:r w:rsidRPr="0066573C">
          <w:rPr>
            <w:rStyle w:val="Hyperlink"/>
          </w:rPr>
          <w:t>http://www.oralhistory.org/about/principles-and-practices/</w:t>
        </w:r>
      </w:hyperlink>
    </w:p>
    <w:p w14:paraId="01FE6450" w14:textId="77777777" w:rsidR="006172EA" w:rsidRDefault="006172EA" w:rsidP="00F1318C"/>
    <w:p w14:paraId="175B12ED" w14:textId="6A3E4DB7" w:rsidR="006172EA" w:rsidRPr="00F1318C" w:rsidRDefault="006172EA" w:rsidP="00F1318C">
      <w:r>
        <w:tab/>
        <w:t xml:space="preserve">If </w:t>
      </w:r>
      <w:r w:rsidR="002542C1">
        <w:t xml:space="preserve">No </w:t>
      </w:r>
      <w:r>
        <w:t xml:space="preserve">to #2, the project is a systematic investigation designed to develop and contribute to generalizable knowledge and requires IRB review. </w:t>
      </w:r>
    </w:p>
    <w:p w14:paraId="1BF1DAFB" w14:textId="77777777" w:rsidR="00633C3A" w:rsidRDefault="00633C3A" w:rsidP="00633C3A">
      <w:pPr>
        <w:pStyle w:val="Heading2"/>
        <w:rPr>
          <w:i w:val="0"/>
          <w:iCs w:val="0"/>
          <w:sz w:val="24"/>
          <w:szCs w:val="24"/>
        </w:rPr>
      </w:pPr>
      <w:r w:rsidRPr="009D3F75">
        <w:rPr>
          <w:i w:val="0"/>
          <w:iCs w:val="0"/>
          <w:sz w:val="24"/>
          <w:szCs w:val="24"/>
        </w:rPr>
        <w:t>1.3</w:t>
      </w:r>
      <w:r w:rsidR="00B26A73">
        <w:rPr>
          <w:i w:val="0"/>
          <w:iCs w:val="0"/>
          <w:sz w:val="24"/>
          <w:szCs w:val="24"/>
        </w:rPr>
        <w:t>.</w:t>
      </w:r>
      <w:r w:rsidRPr="009D3F75">
        <w:rPr>
          <w:i w:val="0"/>
          <w:iCs w:val="0"/>
          <w:sz w:val="24"/>
          <w:szCs w:val="24"/>
        </w:rPr>
        <w:t xml:space="preserve">  </w:t>
      </w:r>
      <w:r w:rsidR="006172EA">
        <w:rPr>
          <w:i w:val="0"/>
          <w:iCs w:val="0"/>
          <w:sz w:val="24"/>
          <w:szCs w:val="24"/>
        </w:rPr>
        <w:t>Exception to this policy:</w:t>
      </w:r>
    </w:p>
    <w:p w14:paraId="18ECC187" w14:textId="45A14F83" w:rsidR="00633C3A" w:rsidRDefault="00633C3A" w:rsidP="006172EA">
      <w:pPr>
        <w:pStyle w:val="level1bodystyle"/>
        <w:ind w:left="0"/>
        <w:rPr>
          <w:sz w:val="22"/>
          <w:szCs w:val="22"/>
        </w:rPr>
      </w:pPr>
      <w:r>
        <w:rPr>
          <w:sz w:val="22"/>
          <w:szCs w:val="22"/>
        </w:rPr>
        <w:t xml:space="preserve">1.3.1 </w:t>
      </w:r>
      <w:r w:rsidR="006172EA">
        <w:rPr>
          <w:sz w:val="22"/>
          <w:szCs w:val="22"/>
        </w:rPr>
        <w:t>If the project will involve participants that are defined as “vulnerable populations” and/or will place participants at risk of criminal or civil liability or be damaging to the participants’ financial standing, employability, or reputation</w:t>
      </w:r>
      <w:r w:rsidR="00CA4676">
        <w:rPr>
          <w:sz w:val="22"/>
          <w:szCs w:val="22"/>
        </w:rPr>
        <w:t>, then</w:t>
      </w:r>
      <w:r w:rsidR="006172EA">
        <w:rPr>
          <w:sz w:val="22"/>
          <w:szCs w:val="22"/>
        </w:rPr>
        <w:t xml:space="preserve"> IRB review is required. </w:t>
      </w:r>
    </w:p>
    <w:p w14:paraId="4DC90CA4" w14:textId="77777777" w:rsidR="00633C3A" w:rsidRPr="00F34F84" w:rsidRDefault="00633C3A" w:rsidP="00633C3A">
      <w:pPr>
        <w:pStyle w:val="Heading1"/>
        <w:spacing w:before="0" w:after="0"/>
        <w:rPr>
          <w:sz w:val="24"/>
          <w:szCs w:val="24"/>
        </w:rPr>
      </w:pPr>
      <w:r w:rsidRPr="00F34F84">
        <w:rPr>
          <w:sz w:val="24"/>
          <w:szCs w:val="24"/>
        </w:rPr>
        <w:t>2.  SCOPE</w:t>
      </w:r>
    </w:p>
    <w:p w14:paraId="34F6DD0D" w14:textId="77777777" w:rsidR="00633C3A" w:rsidRDefault="00EC5F6E" w:rsidP="00633C3A">
      <w:pPr>
        <w:pStyle w:val="level1bodystyle"/>
        <w:spacing w:after="0"/>
        <w:ind w:left="0"/>
        <w:rPr>
          <w:sz w:val="22"/>
          <w:szCs w:val="22"/>
        </w:rPr>
      </w:pPr>
      <w:r>
        <w:rPr>
          <w:sz w:val="22"/>
          <w:szCs w:val="22"/>
        </w:rPr>
        <w:t>A</w:t>
      </w:r>
      <w:r w:rsidR="00633C3A" w:rsidRPr="00F34F84">
        <w:rPr>
          <w:sz w:val="22"/>
          <w:szCs w:val="22"/>
        </w:rPr>
        <w:t>ppl</w:t>
      </w:r>
      <w:r w:rsidR="00633C3A">
        <w:rPr>
          <w:sz w:val="22"/>
          <w:szCs w:val="22"/>
        </w:rPr>
        <w:t>ies</w:t>
      </w:r>
      <w:r w:rsidR="00633C3A" w:rsidRPr="00F34F84">
        <w:rPr>
          <w:sz w:val="22"/>
          <w:szCs w:val="22"/>
        </w:rPr>
        <w:t xml:space="preserve"> to all </w:t>
      </w:r>
      <w:r>
        <w:rPr>
          <w:sz w:val="22"/>
          <w:szCs w:val="22"/>
        </w:rPr>
        <w:t>oral history studies conducted by representatives of Oklahoma State University</w:t>
      </w:r>
      <w:r w:rsidR="00633C3A">
        <w:rPr>
          <w:sz w:val="22"/>
          <w:szCs w:val="22"/>
        </w:rPr>
        <w:t>.</w:t>
      </w:r>
    </w:p>
    <w:p w14:paraId="7D8AFDA8" w14:textId="77777777" w:rsidR="00633C3A" w:rsidRDefault="00633C3A" w:rsidP="00633C3A">
      <w:pPr>
        <w:pStyle w:val="level1bodystyle"/>
        <w:spacing w:after="0"/>
        <w:ind w:left="0"/>
        <w:rPr>
          <w:sz w:val="22"/>
          <w:szCs w:val="22"/>
        </w:rPr>
      </w:pPr>
    </w:p>
    <w:p w14:paraId="5832103D" w14:textId="0CAC2687" w:rsidR="00633C3A" w:rsidRDefault="00633C3A" w:rsidP="00633C3A">
      <w:pPr>
        <w:pStyle w:val="level1bodystyle"/>
        <w:spacing w:after="0"/>
        <w:ind w:left="0"/>
        <w:rPr>
          <w:b/>
          <w:snapToGrid w:val="0"/>
          <w:szCs w:val="24"/>
        </w:rPr>
      </w:pPr>
      <w:r w:rsidRPr="00305831">
        <w:rPr>
          <w:b/>
          <w:snapToGrid w:val="0"/>
          <w:szCs w:val="24"/>
        </w:rPr>
        <w:t xml:space="preserve">3. </w:t>
      </w:r>
      <w:r w:rsidR="00E92307">
        <w:rPr>
          <w:b/>
          <w:snapToGrid w:val="0"/>
          <w:szCs w:val="24"/>
        </w:rPr>
        <w:t xml:space="preserve"> </w:t>
      </w:r>
      <w:r w:rsidRPr="00305831">
        <w:rPr>
          <w:b/>
          <w:snapToGrid w:val="0"/>
          <w:szCs w:val="24"/>
        </w:rPr>
        <w:t>RESPONSIBILITY</w:t>
      </w:r>
    </w:p>
    <w:p w14:paraId="5C581699" w14:textId="375526CA" w:rsidR="00EC5F6E" w:rsidRPr="006F677B" w:rsidRDefault="00EC5F6E" w:rsidP="00EC5F6E">
      <w:pPr>
        <w:pStyle w:val="level1bodystyle"/>
        <w:ind w:left="0"/>
        <w:rPr>
          <w:bCs w:val="0"/>
          <w:sz w:val="22"/>
          <w:szCs w:val="22"/>
        </w:rPr>
      </w:pPr>
      <w:r w:rsidRPr="00575B8F">
        <w:rPr>
          <w:bCs w:val="0"/>
          <w:sz w:val="22"/>
          <w:szCs w:val="22"/>
        </w:rPr>
        <w:t xml:space="preserve">Investigators </w:t>
      </w:r>
      <w:r w:rsidR="00CA4676">
        <w:rPr>
          <w:bCs w:val="0"/>
          <w:sz w:val="22"/>
          <w:szCs w:val="22"/>
        </w:rPr>
        <w:t xml:space="preserve">involved with oral history projects that are not considered human subjects research </w:t>
      </w:r>
      <w:r w:rsidRPr="00575B8F">
        <w:rPr>
          <w:bCs w:val="0"/>
          <w:sz w:val="22"/>
          <w:szCs w:val="22"/>
        </w:rPr>
        <w:t>are</w:t>
      </w:r>
      <w:r w:rsidRPr="006F677B">
        <w:rPr>
          <w:bCs w:val="0"/>
          <w:sz w:val="22"/>
          <w:szCs w:val="22"/>
        </w:rPr>
        <w:t xml:space="preserve"> responsible for making </w:t>
      </w:r>
      <w:r w:rsidR="00CA4676">
        <w:rPr>
          <w:bCs w:val="0"/>
          <w:sz w:val="22"/>
          <w:szCs w:val="22"/>
        </w:rPr>
        <w:t xml:space="preserve">the </w:t>
      </w:r>
      <w:r>
        <w:rPr>
          <w:bCs w:val="0"/>
          <w:sz w:val="22"/>
          <w:szCs w:val="22"/>
        </w:rPr>
        <w:t xml:space="preserve">determination that their study does not require IRB </w:t>
      </w:r>
      <w:r>
        <w:rPr>
          <w:bCs w:val="0"/>
          <w:sz w:val="22"/>
          <w:szCs w:val="22"/>
        </w:rPr>
        <w:lastRenderedPageBreak/>
        <w:t>review</w:t>
      </w:r>
      <w:r w:rsidR="00CA4676">
        <w:rPr>
          <w:bCs w:val="0"/>
          <w:sz w:val="22"/>
          <w:szCs w:val="22"/>
        </w:rPr>
        <w:t>, or for consulting the IRB office for assistance with the determination. If the IRB Manager and/or IRB Chair determine that a particular oral history project does constitute human subject research or otherwise requires IRB review, then the investigator is responsible for seeking IRB review and approval prior to initiating the project</w:t>
      </w:r>
      <w:r>
        <w:rPr>
          <w:bCs w:val="0"/>
          <w:sz w:val="22"/>
          <w:szCs w:val="22"/>
        </w:rPr>
        <w:t>.</w:t>
      </w:r>
    </w:p>
    <w:p w14:paraId="3A67E471" w14:textId="77777777" w:rsidR="00EC5F6E" w:rsidRPr="0070255C" w:rsidRDefault="00EC5F6E" w:rsidP="00EC5F6E">
      <w:pPr>
        <w:pStyle w:val="level1bodystyle"/>
        <w:ind w:left="0"/>
        <w:rPr>
          <w:bCs w:val="0"/>
          <w:sz w:val="22"/>
          <w:szCs w:val="22"/>
        </w:rPr>
      </w:pPr>
      <w:r w:rsidRPr="006F677B">
        <w:rPr>
          <w:bCs w:val="0"/>
          <w:sz w:val="22"/>
          <w:szCs w:val="22"/>
        </w:rPr>
        <w:t xml:space="preserve">The IRB </w:t>
      </w:r>
      <w:r>
        <w:rPr>
          <w:bCs w:val="0"/>
          <w:sz w:val="22"/>
          <w:szCs w:val="22"/>
        </w:rPr>
        <w:t>Coordinator</w:t>
      </w:r>
      <w:r w:rsidRPr="006F677B">
        <w:rPr>
          <w:bCs w:val="0"/>
          <w:sz w:val="22"/>
          <w:szCs w:val="22"/>
        </w:rPr>
        <w:t xml:space="preserve"> is responsible for receiving applications from </w:t>
      </w:r>
      <w:r w:rsidRPr="00106100">
        <w:rPr>
          <w:bCs w:val="0"/>
          <w:sz w:val="22"/>
          <w:szCs w:val="22"/>
        </w:rPr>
        <w:t xml:space="preserve">investigators </w:t>
      </w:r>
      <w:r w:rsidRPr="006F677B">
        <w:rPr>
          <w:bCs w:val="0"/>
          <w:sz w:val="22"/>
          <w:szCs w:val="22"/>
        </w:rPr>
        <w:t xml:space="preserve">who are requesting </w:t>
      </w:r>
      <w:r>
        <w:rPr>
          <w:bCs w:val="0"/>
          <w:sz w:val="22"/>
          <w:szCs w:val="22"/>
        </w:rPr>
        <w:t>IRB</w:t>
      </w:r>
      <w:r w:rsidRPr="006F677B">
        <w:rPr>
          <w:bCs w:val="0"/>
          <w:sz w:val="22"/>
          <w:szCs w:val="22"/>
        </w:rPr>
        <w:t xml:space="preserve"> review, tracking the application review in the URC tracking system,</w:t>
      </w:r>
      <w:r w:rsidRPr="0070255C">
        <w:rPr>
          <w:bCs w:val="0"/>
          <w:sz w:val="22"/>
          <w:szCs w:val="22"/>
        </w:rPr>
        <w:t xml:space="preserve"> reviewing and documenting </w:t>
      </w:r>
      <w:r>
        <w:rPr>
          <w:bCs w:val="0"/>
          <w:sz w:val="22"/>
          <w:szCs w:val="22"/>
        </w:rPr>
        <w:t>review</w:t>
      </w:r>
      <w:r w:rsidRPr="0070255C">
        <w:rPr>
          <w:bCs w:val="0"/>
          <w:sz w:val="22"/>
          <w:szCs w:val="22"/>
        </w:rPr>
        <w:t xml:space="preserve"> status, reviewing and approving revisions, and generating correspondence. </w:t>
      </w:r>
    </w:p>
    <w:p w14:paraId="3EB39C5E" w14:textId="77777777" w:rsidR="00EC5F6E" w:rsidRPr="0070255C" w:rsidRDefault="00EC5F6E" w:rsidP="00EC5F6E">
      <w:pPr>
        <w:pStyle w:val="level1bodystyle"/>
        <w:ind w:left="0"/>
        <w:rPr>
          <w:bCs w:val="0"/>
          <w:sz w:val="22"/>
          <w:szCs w:val="22"/>
        </w:rPr>
      </w:pPr>
      <w:r w:rsidRPr="0070255C">
        <w:rPr>
          <w:bCs w:val="0"/>
          <w:sz w:val="22"/>
          <w:szCs w:val="22"/>
        </w:rPr>
        <w:t xml:space="preserve">The IRB Manager is responsible for reviewing and documenting </w:t>
      </w:r>
      <w:r>
        <w:rPr>
          <w:bCs w:val="0"/>
          <w:sz w:val="22"/>
          <w:szCs w:val="22"/>
        </w:rPr>
        <w:t xml:space="preserve">review </w:t>
      </w:r>
      <w:r w:rsidRPr="0070255C">
        <w:rPr>
          <w:bCs w:val="0"/>
          <w:sz w:val="22"/>
          <w:szCs w:val="22"/>
        </w:rPr>
        <w:t>status as needed, changing review level if appropriate, and reviewing and approving revisions.</w:t>
      </w:r>
    </w:p>
    <w:p w14:paraId="0B828969" w14:textId="3BDB57D7" w:rsidR="00EC5F6E" w:rsidRDefault="00EC5F6E" w:rsidP="00A925EA">
      <w:pPr>
        <w:pStyle w:val="level1bodystyle"/>
        <w:spacing w:after="0"/>
        <w:ind w:left="0"/>
        <w:rPr>
          <w:snapToGrid w:val="0"/>
          <w:sz w:val="22"/>
          <w:szCs w:val="22"/>
        </w:rPr>
      </w:pPr>
      <w:r w:rsidRPr="0070255C">
        <w:rPr>
          <w:bCs w:val="0"/>
          <w:sz w:val="22"/>
          <w:szCs w:val="22"/>
        </w:rPr>
        <w:t xml:space="preserve">The IRB Chair is responsible for reviewing and documenting </w:t>
      </w:r>
      <w:r>
        <w:rPr>
          <w:bCs w:val="0"/>
          <w:sz w:val="22"/>
          <w:szCs w:val="22"/>
        </w:rPr>
        <w:t>review</w:t>
      </w:r>
      <w:r w:rsidRPr="0070255C">
        <w:rPr>
          <w:bCs w:val="0"/>
          <w:sz w:val="22"/>
          <w:szCs w:val="22"/>
        </w:rPr>
        <w:t xml:space="preserve"> status as needed, changing review level if appropriate, reviewing and approving revisions and </w:t>
      </w:r>
      <w:r w:rsidRPr="0070255C">
        <w:rPr>
          <w:snapToGrid w:val="0"/>
          <w:sz w:val="22"/>
          <w:szCs w:val="22"/>
        </w:rPr>
        <w:t xml:space="preserve">providing consultation in the review of claims </w:t>
      </w:r>
      <w:r>
        <w:rPr>
          <w:snapToGrid w:val="0"/>
          <w:sz w:val="22"/>
          <w:szCs w:val="22"/>
        </w:rPr>
        <w:t>regarding</w:t>
      </w:r>
      <w:r w:rsidRPr="0070255C">
        <w:rPr>
          <w:snapToGrid w:val="0"/>
          <w:sz w:val="22"/>
          <w:szCs w:val="22"/>
        </w:rPr>
        <w:t xml:space="preserve"> exempt status.</w:t>
      </w:r>
    </w:p>
    <w:p w14:paraId="68C5A021" w14:textId="77777777" w:rsidR="00DE72CA" w:rsidRPr="0070255C" w:rsidRDefault="00DE72CA" w:rsidP="00A925EA">
      <w:pPr>
        <w:pStyle w:val="level1bodystyle"/>
        <w:spacing w:after="0"/>
        <w:ind w:left="0"/>
        <w:rPr>
          <w:snapToGrid w:val="0"/>
          <w:sz w:val="22"/>
          <w:szCs w:val="22"/>
        </w:rPr>
      </w:pPr>
    </w:p>
    <w:p w14:paraId="29DE2AA8" w14:textId="77777777" w:rsidR="00633C3A" w:rsidRPr="00305831" w:rsidRDefault="00633C3A" w:rsidP="00633C3A">
      <w:pPr>
        <w:pStyle w:val="Heading1"/>
        <w:spacing w:before="0" w:after="0"/>
        <w:rPr>
          <w:sz w:val="24"/>
          <w:szCs w:val="24"/>
        </w:rPr>
      </w:pPr>
      <w:r w:rsidRPr="00305831">
        <w:rPr>
          <w:sz w:val="24"/>
          <w:szCs w:val="24"/>
        </w:rPr>
        <w:t>4.  APPLICABLE REGULATIONS AND GUIDELINES</w:t>
      </w:r>
    </w:p>
    <w:p w14:paraId="4B173AA2" w14:textId="77777777" w:rsidR="00633C3A" w:rsidRPr="00D07802" w:rsidRDefault="00F71376" w:rsidP="00633C3A">
      <w:pPr>
        <w:pStyle w:val="Heading1"/>
        <w:spacing w:before="0" w:after="0"/>
        <w:ind w:left="288"/>
        <w:rPr>
          <w:b w:val="0"/>
        </w:rPr>
      </w:pPr>
      <w:r>
        <w:rPr>
          <w:b w:val="0"/>
        </w:rPr>
        <w:t>45 CFR 46</w:t>
      </w:r>
    </w:p>
    <w:p w14:paraId="55313D41" w14:textId="77777777" w:rsidR="00633C3A" w:rsidRDefault="00633C3A" w:rsidP="00633C3A">
      <w:pPr>
        <w:pStyle w:val="Heading1"/>
        <w:spacing w:before="0" w:after="0"/>
        <w:rPr>
          <w:sz w:val="24"/>
          <w:szCs w:val="24"/>
        </w:rPr>
      </w:pPr>
    </w:p>
    <w:p w14:paraId="5D07CFBC" w14:textId="77777777" w:rsidR="00633C3A" w:rsidRPr="00305831" w:rsidRDefault="00633C3A" w:rsidP="00633C3A">
      <w:pPr>
        <w:pStyle w:val="Heading1"/>
        <w:spacing w:before="0" w:after="0"/>
        <w:rPr>
          <w:sz w:val="24"/>
          <w:szCs w:val="24"/>
        </w:rPr>
      </w:pPr>
      <w:r w:rsidRPr="00305831">
        <w:rPr>
          <w:sz w:val="24"/>
          <w:szCs w:val="24"/>
        </w:rPr>
        <w:t>5.  REFERENCES TO OTHER APPLICABLE SOPs</w:t>
      </w:r>
    </w:p>
    <w:p w14:paraId="0FB9596F" w14:textId="77777777" w:rsidR="00633C3A" w:rsidRPr="00305831" w:rsidRDefault="00633C3A" w:rsidP="00633C3A">
      <w:pPr>
        <w:pStyle w:val="BodyTextIndent"/>
        <w:rPr>
          <w:szCs w:val="22"/>
        </w:rPr>
      </w:pPr>
      <w:r>
        <w:rPr>
          <w:szCs w:val="22"/>
        </w:rPr>
        <w:t>RR40</w:t>
      </w:r>
      <w:r w:rsidR="00F71376">
        <w:rPr>
          <w:szCs w:val="22"/>
        </w:rPr>
        <w:t>2</w:t>
      </w:r>
    </w:p>
    <w:p w14:paraId="54A8ADA5" w14:textId="77777777" w:rsidR="00633C3A" w:rsidRDefault="00633C3A" w:rsidP="00633C3A">
      <w:pPr>
        <w:pStyle w:val="BodyTextIndent"/>
        <w:rPr>
          <w:sz w:val="24"/>
        </w:rPr>
      </w:pPr>
    </w:p>
    <w:p w14:paraId="661A873A" w14:textId="77777777" w:rsidR="00633C3A" w:rsidRDefault="00633C3A" w:rsidP="00633C3A">
      <w:pPr>
        <w:pStyle w:val="Heading1"/>
      </w:pPr>
      <w:r>
        <w:t>6.  Implementation of Procedures</w:t>
      </w:r>
    </w:p>
    <w:tbl>
      <w:tblPr>
        <w:tblW w:w="10440" w:type="dxa"/>
        <w:tblInd w:w="108" w:type="dxa"/>
        <w:tblLayout w:type="fixed"/>
        <w:tblLook w:val="0000" w:firstRow="0" w:lastRow="0" w:firstColumn="0" w:lastColumn="0" w:noHBand="0" w:noVBand="0"/>
      </w:tblPr>
      <w:tblGrid>
        <w:gridCol w:w="3107"/>
        <w:gridCol w:w="7333"/>
      </w:tblGrid>
      <w:tr w:rsidR="00F71376" w:rsidRPr="007D7B88" w14:paraId="0EC03316" w14:textId="77777777" w:rsidTr="006D03F9">
        <w:trPr>
          <w:cantSplit/>
        </w:trPr>
        <w:tc>
          <w:tcPr>
            <w:tcW w:w="2250" w:type="dxa"/>
            <w:tcBorders>
              <w:top w:val="single" w:sz="6" w:space="0" w:color="FFFFFF"/>
              <w:left w:val="single" w:sz="6" w:space="0" w:color="FFFFFF"/>
              <w:bottom w:val="single" w:sz="6" w:space="0" w:color="FFFFFF"/>
              <w:right w:val="single" w:sz="6" w:space="0" w:color="FFFFFF"/>
            </w:tcBorders>
            <w:shd w:val="pct5" w:color="000000" w:fill="FFFFFF"/>
          </w:tcPr>
          <w:p w14:paraId="22C2B8AE" w14:textId="77777777" w:rsidR="00F71376" w:rsidRPr="007D7B88" w:rsidRDefault="00F71376" w:rsidP="006D03F9">
            <w:pPr>
              <w:pStyle w:val="procedurestablestyle"/>
              <w:rPr>
                <w:i/>
                <w:sz w:val="22"/>
                <w:szCs w:val="22"/>
              </w:rPr>
            </w:pPr>
            <w:r w:rsidRPr="007D7B88">
              <w:rPr>
                <w:i/>
                <w:sz w:val="22"/>
                <w:szCs w:val="22"/>
              </w:rPr>
              <w:t>IRB Coordinator</w:t>
            </w:r>
          </w:p>
        </w:tc>
        <w:tc>
          <w:tcPr>
            <w:tcW w:w="5310" w:type="dxa"/>
            <w:tcBorders>
              <w:top w:val="single" w:sz="6" w:space="0" w:color="FFFFFF"/>
              <w:left w:val="single" w:sz="6" w:space="0" w:color="FFFFFF"/>
              <w:bottom w:val="single" w:sz="6" w:space="0" w:color="FFFFFF"/>
              <w:right w:val="single" w:sz="6" w:space="0" w:color="FFFFFF"/>
            </w:tcBorders>
            <w:shd w:val="pct5" w:color="000000" w:fill="FFFFFF"/>
          </w:tcPr>
          <w:p w14:paraId="2333A150" w14:textId="77777777" w:rsidR="00F71376" w:rsidRPr="007D7B88" w:rsidRDefault="00F71376" w:rsidP="00F71376">
            <w:pPr>
              <w:pStyle w:val="procedurestablestyle"/>
              <w:rPr>
                <w:sz w:val="22"/>
                <w:szCs w:val="22"/>
              </w:rPr>
            </w:pPr>
            <w:r w:rsidRPr="007D7B88">
              <w:rPr>
                <w:bCs w:val="0"/>
                <w:sz w:val="22"/>
                <w:szCs w:val="22"/>
              </w:rPr>
              <w:t xml:space="preserve">Receive submissions, review for sufficient information, complete tracking database entry, assess for </w:t>
            </w:r>
            <w:r>
              <w:rPr>
                <w:bCs w:val="0"/>
                <w:sz w:val="22"/>
                <w:szCs w:val="22"/>
              </w:rPr>
              <w:t>review (exempt, expedited, full board) status, perform</w:t>
            </w:r>
            <w:r w:rsidRPr="007D7B88">
              <w:rPr>
                <w:bCs w:val="0"/>
                <w:sz w:val="22"/>
                <w:szCs w:val="22"/>
              </w:rPr>
              <w:t xml:space="preserve"> exempt </w:t>
            </w:r>
            <w:r>
              <w:rPr>
                <w:bCs w:val="0"/>
                <w:sz w:val="22"/>
                <w:szCs w:val="22"/>
              </w:rPr>
              <w:t>status review</w:t>
            </w:r>
            <w:r w:rsidRPr="007D7B88">
              <w:rPr>
                <w:bCs w:val="0"/>
                <w:sz w:val="22"/>
                <w:szCs w:val="22"/>
              </w:rPr>
              <w:t xml:space="preserve">, </w:t>
            </w:r>
            <w:r>
              <w:rPr>
                <w:bCs w:val="0"/>
                <w:sz w:val="22"/>
                <w:szCs w:val="22"/>
              </w:rPr>
              <w:t>document</w:t>
            </w:r>
            <w:r w:rsidRPr="007D7B88">
              <w:rPr>
                <w:bCs w:val="0"/>
                <w:sz w:val="22"/>
                <w:szCs w:val="22"/>
              </w:rPr>
              <w:t xml:space="preserve"> exempt </w:t>
            </w:r>
            <w:r>
              <w:rPr>
                <w:bCs w:val="0"/>
                <w:sz w:val="22"/>
                <w:szCs w:val="22"/>
              </w:rPr>
              <w:t xml:space="preserve">status, </w:t>
            </w:r>
            <w:r w:rsidRPr="007D7B88">
              <w:rPr>
                <w:sz w:val="22"/>
                <w:szCs w:val="22"/>
              </w:rPr>
              <w:t xml:space="preserve">change review designation of </w:t>
            </w:r>
            <w:r>
              <w:rPr>
                <w:sz w:val="22"/>
                <w:szCs w:val="22"/>
              </w:rPr>
              <w:t>applications</w:t>
            </w:r>
            <w:r w:rsidRPr="007D7B88">
              <w:rPr>
                <w:sz w:val="22"/>
                <w:szCs w:val="22"/>
              </w:rPr>
              <w:t xml:space="preserve"> categorized as exempt that do not meet exempt criteria, </w:t>
            </w:r>
            <w:r>
              <w:rPr>
                <w:bCs w:val="0"/>
                <w:sz w:val="22"/>
                <w:szCs w:val="22"/>
              </w:rPr>
              <w:t>send expedited status study to reviewer.</w:t>
            </w:r>
          </w:p>
        </w:tc>
      </w:tr>
      <w:tr w:rsidR="00F71376" w:rsidRPr="007D7B88" w14:paraId="384F1E60" w14:textId="77777777" w:rsidTr="006D03F9">
        <w:trPr>
          <w:cantSplit/>
        </w:trPr>
        <w:tc>
          <w:tcPr>
            <w:tcW w:w="2250" w:type="dxa"/>
            <w:tcBorders>
              <w:top w:val="single" w:sz="6" w:space="0" w:color="FFFFFF"/>
              <w:left w:val="single" w:sz="6" w:space="0" w:color="FFFFFF"/>
              <w:bottom w:val="single" w:sz="6" w:space="0" w:color="FFFFFF"/>
              <w:right w:val="single" w:sz="6" w:space="0" w:color="FFFFFF"/>
            </w:tcBorders>
            <w:shd w:val="pct5" w:color="000000" w:fill="FFFFFF"/>
          </w:tcPr>
          <w:p w14:paraId="7E748F3B" w14:textId="77777777" w:rsidR="00F71376" w:rsidRPr="007D7B88" w:rsidRDefault="00F71376" w:rsidP="006D03F9">
            <w:pPr>
              <w:pStyle w:val="procedurestablestyle"/>
              <w:rPr>
                <w:i/>
                <w:sz w:val="22"/>
                <w:szCs w:val="22"/>
              </w:rPr>
            </w:pPr>
            <w:r w:rsidRPr="007D7B88">
              <w:rPr>
                <w:i/>
                <w:sz w:val="22"/>
                <w:szCs w:val="22"/>
              </w:rPr>
              <w:t>IRB Manager</w:t>
            </w:r>
          </w:p>
        </w:tc>
        <w:tc>
          <w:tcPr>
            <w:tcW w:w="5310" w:type="dxa"/>
            <w:tcBorders>
              <w:top w:val="single" w:sz="6" w:space="0" w:color="FFFFFF"/>
              <w:left w:val="single" w:sz="6" w:space="0" w:color="FFFFFF"/>
              <w:bottom w:val="single" w:sz="6" w:space="0" w:color="FFFFFF"/>
              <w:right w:val="single" w:sz="6" w:space="0" w:color="FFFFFF"/>
            </w:tcBorders>
            <w:shd w:val="pct5" w:color="000000" w:fill="FFFFFF"/>
          </w:tcPr>
          <w:p w14:paraId="58A7CC22" w14:textId="77777777" w:rsidR="00F71376" w:rsidRPr="007D7B88" w:rsidRDefault="00F71376" w:rsidP="00F71376">
            <w:pPr>
              <w:pStyle w:val="procedurestablestyle"/>
              <w:rPr>
                <w:sz w:val="22"/>
                <w:szCs w:val="22"/>
              </w:rPr>
            </w:pPr>
            <w:r w:rsidRPr="007D7B88">
              <w:rPr>
                <w:sz w:val="22"/>
                <w:szCs w:val="22"/>
              </w:rPr>
              <w:t xml:space="preserve">Assess for and document </w:t>
            </w:r>
            <w:r>
              <w:rPr>
                <w:sz w:val="22"/>
                <w:szCs w:val="22"/>
              </w:rPr>
              <w:t>review</w:t>
            </w:r>
            <w:r w:rsidRPr="007D7B88">
              <w:rPr>
                <w:sz w:val="22"/>
                <w:szCs w:val="22"/>
              </w:rPr>
              <w:t xml:space="preserve"> status, change review designation of </w:t>
            </w:r>
            <w:r>
              <w:rPr>
                <w:sz w:val="22"/>
                <w:szCs w:val="22"/>
              </w:rPr>
              <w:t>applications</w:t>
            </w:r>
            <w:r w:rsidRPr="007D7B88">
              <w:rPr>
                <w:sz w:val="22"/>
                <w:szCs w:val="22"/>
              </w:rPr>
              <w:t xml:space="preserve"> categorized as exempt that do not meet exempt criteria, review exempt applications and route</w:t>
            </w:r>
            <w:r>
              <w:rPr>
                <w:sz w:val="22"/>
                <w:szCs w:val="22"/>
              </w:rPr>
              <w:t xml:space="preserve"> them</w:t>
            </w:r>
            <w:r w:rsidRPr="007D7B88">
              <w:rPr>
                <w:sz w:val="22"/>
                <w:szCs w:val="22"/>
              </w:rPr>
              <w:t xml:space="preserve"> to the IRB Coordinator for proper processing, </w:t>
            </w:r>
            <w:r>
              <w:rPr>
                <w:bCs w:val="0"/>
                <w:sz w:val="22"/>
                <w:szCs w:val="22"/>
              </w:rPr>
              <w:t>send expedited status study to reviewer</w:t>
            </w:r>
            <w:r w:rsidRPr="007D7B88">
              <w:rPr>
                <w:sz w:val="22"/>
                <w:szCs w:val="22"/>
              </w:rPr>
              <w:t>.</w:t>
            </w:r>
          </w:p>
        </w:tc>
      </w:tr>
      <w:tr w:rsidR="00F71376" w:rsidRPr="007D7B88" w14:paraId="7995765A" w14:textId="77777777" w:rsidTr="006D03F9">
        <w:trPr>
          <w:cantSplit/>
        </w:trPr>
        <w:tc>
          <w:tcPr>
            <w:tcW w:w="2250" w:type="dxa"/>
            <w:tcBorders>
              <w:top w:val="single" w:sz="6" w:space="0" w:color="FFFFFF"/>
              <w:left w:val="single" w:sz="6" w:space="0" w:color="FFFFFF"/>
              <w:bottom w:val="single" w:sz="6" w:space="0" w:color="FFFFFF"/>
              <w:right w:val="single" w:sz="6" w:space="0" w:color="FFFFFF"/>
            </w:tcBorders>
            <w:shd w:val="pct5" w:color="000000" w:fill="FFFFFF"/>
          </w:tcPr>
          <w:p w14:paraId="4E4D238A" w14:textId="77777777" w:rsidR="00F71376" w:rsidRPr="007D7B88" w:rsidRDefault="00F71376" w:rsidP="006D03F9">
            <w:pPr>
              <w:pStyle w:val="procedurestablestyle"/>
              <w:rPr>
                <w:i/>
                <w:sz w:val="22"/>
                <w:szCs w:val="22"/>
              </w:rPr>
            </w:pPr>
            <w:r w:rsidRPr="007D7B88">
              <w:rPr>
                <w:i/>
                <w:sz w:val="22"/>
                <w:szCs w:val="22"/>
              </w:rPr>
              <w:t>IRB Chair</w:t>
            </w:r>
          </w:p>
        </w:tc>
        <w:tc>
          <w:tcPr>
            <w:tcW w:w="5310" w:type="dxa"/>
            <w:tcBorders>
              <w:top w:val="single" w:sz="6" w:space="0" w:color="FFFFFF"/>
              <w:left w:val="single" w:sz="6" w:space="0" w:color="FFFFFF"/>
              <w:bottom w:val="single" w:sz="6" w:space="0" w:color="FFFFFF"/>
              <w:right w:val="single" w:sz="6" w:space="0" w:color="FFFFFF"/>
            </w:tcBorders>
            <w:shd w:val="pct5" w:color="000000" w:fill="FFFFFF"/>
          </w:tcPr>
          <w:p w14:paraId="005936BC" w14:textId="77777777" w:rsidR="00F71376" w:rsidRPr="007D7B88" w:rsidRDefault="00F71376" w:rsidP="00F71376">
            <w:pPr>
              <w:pStyle w:val="procedurestablestyle"/>
              <w:rPr>
                <w:sz w:val="22"/>
                <w:szCs w:val="22"/>
              </w:rPr>
            </w:pPr>
            <w:r w:rsidRPr="007D7B88">
              <w:rPr>
                <w:sz w:val="22"/>
                <w:szCs w:val="22"/>
              </w:rPr>
              <w:t>Provide guidance to IRB Manager a</w:t>
            </w:r>
            <w:r>
              <w:rPr>
                <w:sz w:val="22"/>
                <w:szCs w:val="22"/>
              </w:rPr>
              <w:t xml:space="preserve">nd IRB Coordinator as needed </w:t>
            </w:r>
            <w:r w:rsidRPr="007D7B88">
              <w:rPr>
                <w:sz w:val="22"/>
                <w:szCs w:val="22"/>
              </w:rPr>
              <w:t xml:space="preserve">and requested. Change review designation of </w:t>
            </w:r>
            <w:r>
              <w:rPr>
                <w:sz w:val="22"/>
                <w:szCs w:val="22"/>
              </w:rPr>
              <w:t>applications</w:t>
            </w:r>
            <w:r w:rsidRPr="007D7B88">
              <w:rPr>
                <w:sz w:val="22"/>
                <w:szCs w:val="22"/>
              </w:rPr>
              <w:t xml:space="preserve"> not meeting exempt </w:t>
            </w:r>
            <w:r>
              <w:rPr>
                <w:sz w:val="22"/>
                <w:szCs w:val="22"/>
              </w:rPr>
              <w:t xml:space="preserve">or expedited </w:t>
            </w:r>
            <w:r w:rsidRPr="007D7B88">
              <w:rPr>
                <w:sz w:val="22"/>
                <w:szCs w:val="22"/>
              </w:rPr>
              <w:t>cri</w:t>
            </w:r>
            <w:r>
              <w:rPr>
                <w:sz w:val="22"/>
                <w:szCs w:val="22"/>
              </w:rPr>
              <w:t>teria. Perform review of applications</w:t>
            </w:r>
            <w:r w:rsidRPr="007D7B88">
              <w:rPr>
                <w:sz w:val="22"/>
                <w:szCs w:val="22"/>
              </w:rPr>
              <w:t xml:space="preserve"> as needed</w:t>
            </w:r>
            <w:r>
              <w:rPr>
                <w:sz w:val="22"/>
                <w:szCs w:val="22"/>
              </w:rPr>
              <w:t>.</w:t>
            </w:r>
          </w:p>
        </w:tc>
      </w:tr>
    </w:tbl>
    <w:p w14:paraId="75EA5367" w14:textId="77777777" w:rsidR="00570513" w:rsidRDefault="00570513"/>
    <w:p w14:paraId="398E969F" w14:textId="77777777" w:rsidR="00F43B68" w:rsidRDefault="00F43B68"/>
    <w:p w14:paraId="2E352383" w14:textId="77777777" w:rsidR="00F43B68" w:rsidRDefault="00F43B68"/>
    <w:p w14:paraId="47A01296" w14:textId="77777777" w:rsidR="00F43B68" w:rsidRDefault="00F43B68"/>
    <w:p w14:paraId="62F5CE98" w14:textId="77777777" w:rsidR="00F43B68" w:rsidRDefault="00F43B68"/>
    <w:p w14:paraId="0B038FB6" w14:textId="77777777" w:rsidR="00F43B68" w:rsidRDefault="00F43B68"/>
    <w:p w14:paraId="22AD0193" w14:textId="77777777" w:rsidR="00F43B68" w:rsidRDefault="00F43B68"/>
    <w:p w14:paraId="622230AD" w14:textId="77777777" w:rsidR="00F43B68" w:rsidRDefault="00F43B68"/>
    <w:p w14:paraId="54B2599A" w14:textId="77777777" w:rsidR="00F43B68" w:rsidRDefault="00F43B68"/>
    <w:p w14:paraId="59245358" w14:textId="77777777" w:rsidR="00F43B68" w:rsidRDefault="00F43B68"/>
    <w:p w14:paraId="619E2E1C" w14:textId="77777777" w:rsidR="00F43B68" w:rsidRDefault="00F43B68"/>
    <w:p w14:paraId="0C5BCB88" w14:textId="77777777" w:rsidR="00F43B68" w:rsidRDefault="00F43B68"/>
    <w:p w14:paraId="389BCE57" w14:textId="77777777" w:rsidR="00F43B68" w:rsidRDefault="00F43B68"/>
    <w:p w14:paraId="4C47A058" w14:textId="77777777" w:rsidR="00F43B68" w:rsidRDefault="00F43B68"/>
    <w:p w14:paraId="72DF2768" w14:textId="77777777" w:rsidR="00F43B68" w:rsidRDefault="00F43B68"/>
    <w:p w14:paraId="30214610" w14:textId="77777777" w:rsidR="00F43B68" w:rsidRDefault="00F43B68"/>
    <w:p w14:paraId="07899FDE" w14:textId="77777777" w:rsidR="00F43B68" w:rsidRDefault="00F43B68"/>
    <w:p w14:paraId="45C6C923" w14:textId="77777777" w:rsidR="00F43B68" w:rsidRDefault="00290D5A" w:rsidP="00290D5A">
      <w:pPr>
        <w:jc w:val="center"/>
        <w:rPr>
          <w:u w:val="single"/>
        </w:rPr>
      </w:pPr>
      <w:r>
        <w:rPr>
          <w:u w:val="single"/>
        </w:rPr>
        <w:t>Oral History Project Compliance Checklist</w:t>
      </w:r>
    </w:p>
    <w:p w14:paraId="761F141C" w14:textId="77777777" w:rsidR="00290D5A" w:rsidRDefault="00290D5A" w:rsidP="00290D5A">
      <w:pPr>
        <w:jc w:val="center"/>
        <w:rPr>
          <w:u w:val="single"/>
        </w:rPr>
      </w:pPr>
    </w:p>
    <w:p w14:paraId="2153728E" w14:textId="77777777" w:rsidR="00290D5A" w:rsidRPr="00290D5A" w:rsidRDefault="00290D5A" w:rsidP="00290D5A">
      <w:r w:rsidRPr="00290D5A">
        <w:t xml:space="preserve">Initial each item before signing this form and submitting to the OSU IRB.  </w:t>
      </w:r>
    </w:p>
    <w:p w14:paraId="195E7925" w14:textId="77777777" w:rsidR="00290D5A" w:rsidRDefault="00290D5A" w:rsidP="00290D5A">
      <w:pPr>
        <w:rPr>
          <w:u w:val="single"/>
        </w:rPr>
      </w:pPr>
    </w:p>
    <w:p w14:paraId="585A45D3" w14:textId="77777777" w:rsidR="00290D5A" w:rsidRDefault="00290D5A" w:rsidP="00290D5A">
      <w:pPr>
        <w:rPr>
          <w:u w:val="single"/>
        </w:rPr>
      </w:pPr>
    </w:p>
    <w:p w14:paraId="1A359123" w14:textId="77777777" w:rsidR="00290D5A" w:rsidRDefault="00290D5A" w:rsidP="00290D5A">
      <w:r>
        <w:rPr>
          <w:u w:val="single"/>
        </w:rPr>
        <w:t xml:space="preserve">_____ </w:t>
      </w:r>
      <w:r>
        <w:t>I have read the aforementioned definition of Oral History and have determined that my project conforms to it.</w:t>
      </w:r>
    </w:p>
    <w:p w14:paraId="140DAB42" w14:textId="77777777" w:rsidR="00290D5A" w:rsidRDefault="00290D5A" w:rsidP="00290D5A"/>
    <w:p w14:paraId="6B6FB7A6" w14:textId="77777777" w:rsidR="00290D5A" w:rsidRDefault="00290D5A" w:rsidP="00290D5A">
      <w:r>
        <w:t xml:space="preserve">_____ I have reviewed the ethics guidelines established by the Oral History Association located at </w:t>
      </w:r>
      <w:hyperlink r:id="rId6" w:history="1">
        <w:r w:rsidRPr="003D46AF">
          <w:rPr>
            <w:rStyle w:val="Hyperlink"/>
          </w:rPr>
          <w:t>http://www.oralhistory.org/about/principles-and-practices/</w:t>
        </w:r>
      </w:hyperlink>
      <w:r>
        <w:t>. I agree to comply with these ethical guidelines.</w:t>
      </w:r>
    </w:p>
    <w:p w14:paraId="37E54FBE" w14:textId="77777777" w:rsidR="00290D5A" w:rsidRDefault="00290D5A" w:rsidP="00290D5A"/>
    <w:p w14:paraId="7331105A" w14:textId="77777777" w:rsidR="00290D5A" w:rsidRDefault="00290D5A" w:rsidP="00290D5A">
      <w:r>
        <w:t>_____ I will supply participants with informed consent/release. Debriefing forms (if applicable) will be supplied.</w:t>
      </w:r>
    </w:p>
    <w:p w14:paraId="3C4D2EDA" w14:textId="77777777" w:rsidR="00290D5A" w:rsidRDefault="00290D5A" w:rsidP="00290D5A"/>
    <w:p w14:paraId="780B393C" w14:textId="4F8BE01D" w:rsidR="00290D5A" w:rsidRDefault="00290D5A" w:rsidP="00290D5A">
      <w:r>
        <w:t xml:space="preserve">_____ I understand that if an oral history interview is recorded, the </w:t>
      </w:r>
      <w:r w:rsidR="00C95129" w:rsidRPr="00A925EA">
        <w:t>paperwork</w:t>
      </w:r>
      <w:r>
        <w:t xml:space="preserve"> must state that the interview will be recorded and that the participant has the right to stop the recording at any time. I will become informed about and will obey the laws of the State of Oklahoma regarding recording. </w:t>
      </w:r>
    </w:p>
    <w:p w14:paraId="619F9D0B" w14:textId="77777777" w:rsidR="00290D5A" w:rsidRDefault="00290D5A" w:rsidP="00290D5A"/>
    <w:p w14:paraId="43589EB7" w14:textId="77777777" w:rsidR="00290D5A" w:rsidRDefault="00290D5A" w:rsidP="00290D5A">
      <w:r>
        <w:t xml:space="preserve">_____ I understand that the participant has the right to restrict access to the interview. </w:t>
      </w:r>
    </w:p>
    <w:p w14:paraId="39CDA5A7" w14:textId="77777777" w:rsidR="00290D5A" w:rsidRDefault="00290D5A" w:rsidP="00290D5A"/>
    <w:p w14:paraId="2158C2F9" w14:textId="77777777" w:rsidR="00290D5A" w:rsidRDefault="00290D5A" w:rsidP="00290D5A">
      <w:r>
        <w:t xml:space="preserve">_____ I will abide by the aforementioned conditions. </w:t>
      </w:r>
    </w:p>
    <w:p w14:paraId="653C92FC" w14:textId="77777777" w:rsidR="00290D5A" w:rsidRDefault="00290D5A" w:rsidP="00290D5A"/>
    <w:p w14:paraId="5FDFC727" w14:textId="77777777" w:rsidR="00290D5A" w:rsidRDefault="00290D5A" w:rsidP="00290D5A">
      <w:r>
        <w:t>_____ I take responsibility for any future repercussions which my research might generate. Oklahoma State University will in no way be held liable or responsible for my actions.</w:t>
      </w:r>
    </w:p>
    <w:p w14:paraId="26E81BCE" w14:textId="77777777" w:rsidR="00290D5A" w:rsidRDefault="00290D5A" w:rsidP="00290D5A"/>
    <w:p w14:paraId="317F723F" w14:textId="77777777" w:rsidR="00290D5A" w:rsidRDefault="00290D5A" w:rsidP="00290D5A"/>
    <w:p w14:paraId="014EAE83" w14:textId="0C5FA48C" w:rsidR="003E0AEE" w:rsidRDefault="006A110A" w:rsidP="00290D5A">
      <w:r>
        <w:rPr>
          <w:noProof/>
        </w:rPr>
        <mc:AlternateContent>
          <mc:Choice Requires="wps">
            <w:drawing>
              <wp:anchor distT="0" distB="0" distL="114300" distR="114300" simplePos="0" relativeHeight="251656192" behindDoc="0" locked="0" layoutInCell="1" allowOverlap="1" wp14:anchorId="70FF6DDF" wp14:editId="1F6F5013">
                <wp:simplePos x="0" y="0"/>
                <wp:positionH relativeFrom="column">
                  <wp:posOffset>0</wp:posOffset>
                </wp:positionH>
                <wp:positionV relativeFrom="paragraph">
                  <wp:posOffset>132080</wp:posOffset>
                </wp:positionV>
                <wp:extent cx="6057900" cy="9525"/>
                <wp:effectExtent l="9525" t="8255" r="9525"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0FBDFF87">
              <v:shapetype id="_x0000_t32" coordsize="21600,21600" o:oned="t" filled="f" o:spt="32" path="m,l21600,21600e" w14:anchorId="62A38AF2">
                <v:path fillok="f" arrowok="t" o:connecttype="none"/>
                <o:lock v:ext="edit" shapetype="t"/>
              </v:shapetype>
              <v:shape id="AutoShape 2" style="position:absolute;margin-left:0;margin-top:10.4pt;width:477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"/>
            </w:pict>
          </mc:Fallback>
        </mc:AlternateContent>
      </w:r>
    </w:p>
    <w:p w14:paraId="42897FFA" w14:textId="77777777" w:rsidR="003E0AEE" w:rsidRDefault="003E0AEE" w:rsidP="003E0AEE">
      <w:r>
        <w:t>Investigator (type/clearly print name)</w:t>
      </w:r>
    </w:p>
    <w:p w14:paraId="2FFF6FFE" w14:textId="77777777" w:rsidR="003E0AEE" w:rsidRDefault="003E0AEE" w:rsidP="003E0AEE"/>
    <w:p w14:paraId="75781DDD" w14:textId="77777777" w:rsidR="003E0AEE" w:rsidRDefault="003E0AEE" w:rsidP="003E0AEE"/>
    <w:p w14:paraId="1C1EA923" w14:textId="5E4C39CE" w:rsidR="003E0AEE" w:rsidRPr="003E0AEE" w:rsidRDefault="006A110A" w:rsidP="003E0AEE">
      <w:r>
        <w:rPr>
          <w:noProof/>
        </w:rPr>
        <mc:AlternateContent>
          <mc:Choice Requires="wps">
            <w:drawing>
              <wp:anchor distT="0" distB="0" distL="114300" distR="114300" simplePos="0" relativeHeight="251657216" behindDoc="0" locked="0" layoutInCell="1" allowOverlap="1" wp14:anchorId="1226E739" wp14:editId="1C0DF3BC">
                <wp:simplePos x="0" y="0"/>
                <wp:positionH relativeFrom="column">
                  <wp:posOffset>0</wp:posOffset>
                </wp:positionH>
                <wp:positionV relativeFrom="paragraph">
                  <wp:posOffset>135890</wp:posOffset>
                </wp:positionV>
                <wp:extent cx="6124575" cy="0"/>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75284434">
              <v:shape id="AutoShape 3" style="position:absolute;margin-left:0;margin-top:10.7pt;width:48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HP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cZaN8+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" w14:anchorId="10B0D853"/>
            </w:pict>
          </mc:Fallback>
        </mc:AlternateContent>
      </w:r>
    </w:p>
    <w:p w14:paraId="5F4B754F" w14:textId="77777777" w:rsidR="003E0AEE" w:rsidRDefault="003E0AEE" w:rsidP="003E0AEE">
      <w:r>
        <w:t>Signature</w:t>
      </w:r>
      <w:r>
        <w:tab/>
      </w:r>
      <w:r>
        <w:tab/>
      </w:r>
      <w:r>
        <w:tab/>
      </w:r>
      <w:r>
        <w:tab/>
      </w:r>
      <w:r>
        <w:tab/>
      </w:r>
      <w:r>
        <w:tab/>
      </w:r>
      <w:r>
        <w:tab/>
      </w:r>
      <w:r>
        <w:tab/>
        <w:t>Date</w:t>
      </w:r>
    </w:p>
    <w:p w14:paraId="6CE0507B" w14:textId="77777777" w:rsidR="003E0AEE" w:rsidRDefault="003E0AEE" w:rsidP="003E0AEE"/>
    <w:p w14:paraId="747C7764" w14:textId="77777777" w:rsidR="003E0AEE" w:rsidRDefault="003E0AEE" w:rsidP="003E0AEE"/>
    <w:p w14:paraId="65FD2924" w14:textId="77777777" w:rsidR="003E0AEE" w:rsidRDefault="003E0AEE" w:rsidP="003E0AEE"/>
    <w:p w14:paraId="3C2046FC" w14:textId="551AF976" w:rsidR="003E0AEE" w:rsidRDefault="006A110A" w:rsidP="003E0AEE">
      <w:r>
        <w:rPr>
          <w:noProof/>
        </w:rPr>
        <mc:AlternateContent>
          <mc:Choice Requires="wps">
            <w:drawing>
              <wp:anchor distT="0" distB="0" distL="114300" distR="114300" simplePos="0" relativeHeight="251658240" behindDoc="0" locked="0" layoutInCell="1" allowOverlap="1" wp14:anchorId="79812CC7" wp14:editId="19A474A1">
                <wp:simplePos x="0" y="0"/>
                <wp:positionH relativeFrom="column">
                  <wp:posOffset>0</wp:posOffset>
                </wp:positionH>
                <wp:positionV relativeFrom="paragraph">
                  <wp:posOffset>59690</wp:posOffset>
                </wp:positionV>
                <wp:extent cx="6124575" cy="19050"/>
                <wp:effectExtent l="9525" t="12065" r="952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6E9A661C">
              <v:shape id="AutoShape 4" style="position:absolute;margin-left:0;margin-top:4.7pt;width:482.2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5U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" w14:anchorId="2F069FBC"/>
            </w:pict>
          </mc:Fallback>
        </mc:AlternateContent>
      </w:r>
    </w:p>
    <w:p w14:paraId="3D500385" w14:textId="77777777" w:rsidR="00290D5A" w:rsidRDefault="003E0AEE" w:rsidP="003E0AEE">
      <w:r>
        <w:t>Project title</w:t>
      </w:r>
    </w:p>
    <w:p w14:paraId="41A3D437" w14:textId="77777777" w:rsidR="003E0AEE" w:rsidRDefault="003E0AEE" w:rsidP="003E0AEE"/>
    <w:p w14:paraId="45112616" w14:textId="77777777" w:rsidR="003E0AEE" w:rsidRDefault="003E0AEE" w:rsidP="003E0AEE"/>
    <w:p w14:paraId="3DEEE73E" w14:textId="77777777" w:rsidR="003E0AEE" w:rsidRDefault="003E0AEE" w:rsidP="003E0AEE"/>
    <w:p w14:paraId="112A19C8" w14:textId="5606135F" w:rsidR="003E0AEE" w:rsidRDefault="006A110A" w:rsidP="003E0AEE">
      <w:r>
        <w:rPr>
          <w:noProof/>
        </w:rPr>
        <mc:AlternateContent>
          <mc:Choice Requires="wps">
            <w:drawing>
              <wp:anchor distT="0" distB="0" distL="114300" distR="114300" simplePos="0" relativeHeight="251659264" behindDoc="0" locked="0" layoutInCell="1" allowOverlap="1" wp14:anchorId="6B9FBB89" wp14:editId="20B4E01A">
                <wp:simplePos x="0" y="0"/>
                <wp:positionH relativeFrom="column">
                  <wp:posOffset>0</wp:posOffset>
                </wp:positionH>
                <wp:positionV relativeFrom="paragraph">
                  <wp:posOffset>88265</wp:posOffset>
                </wp:positionV>
                <wp:extent cx="6124575" cy="9525"/>
                <wp:effectExtent l="9525" t="12065"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a14="http://schemas.microsoft.com/office/drawing/2010/main">
            <w:pict w14:anchorId="34CB0F72">
              <v:shape id="AutoShape 5" style="position:absolute;margin-left:0;margin-top:6.95pt;width:482.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" w14:anchorId="6F1CBC18"/>
            </w:pict>
          </mc:Fallback>
        </mc:AlternateContent>
      </w:r>
    </w:p>
    <w:p w14:paraId="172BC27C" w14:textId="77777777" w:rsidR="003E0AEE" w:rsidRDefault="003E0AEE" w:rsidP="003E0AEE">
      <w:r>
        <w:t>Project start date-end date</w:t>
      </w:r>
    </w:p>
    <w:p w14:paraId="04D0C4B3" w14:textId="77777777" w:rsidR="003E0AEE" w:rsidRDefault="003E0AEE" w:rsidP="003E0AEE"/>
    <w:p w14:paraId="5816BC9A" w14:textId="77777777" w:rsidR="003E0AEE" w:rsidRDefault="003E0AEE" w:rsidP="003E0AEE"/>
    <w:p w14:paraId="0250CE1A" w14:textId="77777777" w:rsidR="003E0AEE" w:rsidRPr="003E0AEE" w:rsidRDefault="003E0AEE" w:rsidP="003E0AEE"/>
    <w:sectPr w:rsidR="003E0AEE" w:rsidRPr="003E0AEE" w:rsidSect="007A37BC">
      <w:pgSz w:w="12240" w:h="15840"/>
      <w:pgMar w:top="1080" w:right="1440" w:bottom="10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A70AD" w16cid:durableId="1E4CE3FD"/>
  <w16cid:commentId w16cid:paraId="292B2F53" w16cid:durableId="1E253BB1"/>
  <w16cid:commentId w16cid:paraId="78C34430" w16cid:durableId="1E4CE1CF"/>
  <w16cid:commentId w16cid:paraId="761BD8C0" w16cid:durableId="1E4CE594"/>
  <w16cid:commentId w16cid:paraId="25572C92" w16cid:durableId="1E11DC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23"/>
    <w:multiLevelType w:val="hybridMultilevel"/>
    <w:tmpl w:val="B4BC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F94"/>
    <w:multiLevelType w:val="hybridMultilevel"/>
    <w:tmpl w:val="8D94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1F1"/>
    <w:multiLevelType w:val="hybridMultilevel"/>
    <w:tmpl w:val="08DE7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1B4F"/>
    <w:multiLevelType w:val="multilevel"/>
    <w:tmpl w:val="95C2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10713"/>
    <w:multiLevelType w:val="hybridMultilevel"/>
    <w:tmpl w:val="2528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A38B3"/>
    <w:multiLevelType w:val="multilevel"/>
    <w:tmpl w:val="D766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273FB"/>
    <w:multiLevelType w:val="hybridMultilevel"/>
    <w:tmpl w:val="526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C7AD2"/>
    <w:multiLevelType w:val="hybridMultilevel"/>
    <w:tmpl w:val="51267B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228E8"/>
    <w:multiLevelType w:val="hybridMultilevel"/>
    <w:tmpl w:val="04188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666DC"/>
    <w:multiLevelType w:val="multilevel"/>
    <w:tmpl w:val="C37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691C90"/>
    <w:multiLevelType w:val="hybridMultilevel"/>
    <w:tmpl w:val="DF36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045E6"/>
    <w:multiLevelType w:val="hybridMultilevel"/>
    <w:tmpl w:val="A11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4"/>
  </w:num>
  <w:num w:numId="5">
    <w:abstractNumId w:val="6"/>
  </w:num>
  <w:num w:numId="6">
    <w:abstractNumId w:val="9"/>
  </w:num>
  <w:num w:numId="7">
    <w:abstractNumId w:val="5"/>
  </w:num>
  <w:num w:numId="8">
    <w:abstractNumId w:val="3"/>
  </w:num>
  <w:num w:numId="9">
    <w:abstractNumId w:val="7"/>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3"/>
    <w:rsid w:val="00005EF0"/>
    <w:rsid w:val="00007C61"/>
    <w:rsid w:val="00011BD7"/>
    <w:rsid w:val="00021BC6"/>
    <w:rsid w:val="00030B27"/>
    <w:rsid w:val="00062003"/>
    <w:rsid w:val="000C0DA2"/>
    <w:rsid w:val="000C306C"/>
    <w:rsid w:val="000F7594"/>
    <w:rsid w:val="001C62C9"/>
    <w:rsid w:val="002409DA"/>
    <w:rsid w:val="0024185F"/>
    <w:rsid w:val="002542C1"/>
    <w:rsid w:val="00290D5A"/>
    <w:rsid w:val="00345C1A"/>
    <w:rsid w:val="00370971"/>
    <w:rsid w:val="0037177C"/>
    <w:rsid w:val="003A2094"/>
    <w:rsid w:val="003E0AEE"/>
    <w:rsid w:val="00410364"/>
    <w:rsid w:val="00504891"/>
    <w:rsid w:val="005306F3"/>
    <w:rsid w:val="005520BF"/>
    <w:rsid w:val="00570513"/>
    <w:rsid w:val="005E338E"/>
    <w:rsid w:val="005E4A95"/>
    <w:rsid w:val="006172EA"/>
    <w:rsid w:val="00633C3A"/>
    <w:rsid w:val="00671E6B"/>
    <w:rsid w:val="006A110A"/>
    <w:rsid w:val="006B61D3"/>
    <w:rsid w:val="006C3E00"/>
    <w:rsid w:val="006D03F9"/>
    <w:rsid w:val="00752B41"/>
    <w:rsid w:val="00766464"/>
    <w:rsid w:val="00777378"/>
    <w:rsid w:val="007A37BC"/>
    <w:rsid w:val="008762CF"/>
    <w:rsid w:val="00893925"/>
    <w:rsid w:val="008B7342"/>
    <w:rsid w:val="008D44B1"/>
    <w:rsid w:val="008E4BD2"/>
    <w:rsid w:val="00917762"/>
    <w:rsid w:val="0092711A"/>
    <w:rsid w:val="00942AF6"/>
    <w:rsid w:val="00985328"/>
    <w:rsid w:val="009A7F54"/>
    <w:rsid w:val="00A26624"/>
    <w:rsid w:val="00A64FFE"/>
    <w:rsid w:val="00A925EA"/>
    <w:rsid w:val="00AF58FC"/>
    <w:rsid w:val="00B23563"/>
    <w:rsid w:val="00B26A73"/>
    <w:rsid w:val="00B566AC"/>
    <w:rsid w:val="00B616F2"/>
    <w:rsid w:val="00B7737E"/>
    <w:rsid w:val="00BA14D9"/>
    <w:rsid w:val="00C24328"/>
    <w:rsid w:val="00C26C03"/>
    <w:rsid w:val="00C40581"/>
    <w:rsid w:val="00C51EF5"/>
    <w:rsid w:val="00C95129"/>
    <w:rsid w:val="00CA3560"/>
    <w:rsid w:val="00CA4676"/>
    <w:rsid w:val="00D57826"/>
    <w:rsid w:val="00D603D5"/>
    <w:rsid w:val="00D67553"/>
    <w:rsid w:val="00DA380F"/>
    <w:rsid w:val="00DE72CA"/>
    <w:rsid w:val="00E92307"/>
    <w:rsid w:val="00EA32A8"/>
    <w:rsid w:val="00EB2C94"/>
    <w:rsid w:val="00EC5F6E"/>
    <w:rsid w:val="00ED5191"/>
    <w:rsid w:val="00EE405B"/>
    <w:rsid w:val="00F0704D"/>
    <w:rsid w:val="00F1318C"/>
    <w:rsid w:val="00F43B68"/>
    <w:rsid w:val="00F71376"/>
    <w:rsid w:val="00F73B0F"/>
    <w:rsid w:val="00F90D33"/>
    <w:rsid w:val="00FB54F8"/>
    <w:rsid w:val="391DD42A"/>
    <w:rsid w:val="4341BE9A"/>
    <w:rsid w:val="4C39EB07"/>
    <w:rsid w:val="52EECD00"/>
    <w:rsid w:val="5CFD8B22"/>
    <w:rsid w:val="5D4BBC66"/>
    <w:rsid w:val="7AFE4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81CC37"/>
  <w15:chartTrackingRefBased/>
  <w15:docId w15:val="{450DD473-70A1-4FC1-9BB7-0B6F4AF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SOP heading - 1st row,h-manual,Main Section Head"/>
    <w:basedOn w:val="Normal"/>
    <w:next w:val="Normal"/>
    <w:link w:val="Heading1Char"/>
    <w:qFormat/>
    <w:rsid w:val="00633C3A"/>
    <w:pPr>
      <w:keepNext/>
      <w:numPr>
        <w:ilvl w:val="12"/>
      </w:numPr>
      <w:tabs>
        <w:tab w:val="left" w:pos="288"/>
      </w:tabs>
      <w:spacing w:before="120" w:after="120"/>
      <w:outlineLvl w:val="0"/>
    </w:pPr>
    <w:rPr>
      <w:rFonts w:ascii="Arial" w:hAnsi="Arial" w:cs="Arial"/>
      <w:b/>
      <w:caps/>
      <w:sz w:val="22"/>
      <w:szCs w:val="20"/>
    </w:rPr>
  </w:style>
  <w:style w:type="paragraph" w:styleId="Heading2">
    <w:name w:val="heading 2"/>
    <w:basedOn w:val="Normal"/>
    <w:next w:val="Normal"/>
    <w:link w:val="Heading2Char"/>
    <w:qFormat/>
    <w:rsid w:val="00633C3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OP heading - 1st row Char,h-manual Char,Main Section Head Char"/>
    <w:link w:val="Heading1"/>
    <w:rsid w:val="00633C3A"/>
    <w:rPr>
      <w:rFonts w:ascii="Arial" w:hAnsi="Arial" w:cs="Arial"/>
      <w:b/>
      <w:caps/>
      <w:sz w:val="22"/>
    </w:rPr>
  </w:style>
  <w:style w:type="character" w:customStyle="1" w:styleId="Heading2Char">
    <w:name w:val="Heading 2 Char"/>
    <w:link w:val="Heading2"/>
    <w:rsid w:val="00633C3A"/>
    <w:rPr>
      <w:rFonts w:ascii="Arial" w:hAnsi="Arial" w:cs="Arial"/>
      <w:b/>
      <w:bCs/>
      <w:i/>
      <w:iCs/>
      <w:sz w:val="28"/>
      <w:szCs w:val="28"/>
    </w:rPr>
  </w:style>
  <w:style w:type="paragraph" w:customStyle="1" w:styleId="level1bodystyle">
    <w:name w:val="level 1 body style"/>
    <w:basedOn w:val="Normal"/>
    <w:rsid w:val="00633C3A"/>
    <w:pPr>
      <w:spacing w:after="120"/>
      <w:ind w:left="360"/>
      <w:outlineLvl w:val="0"/>
    </w:pPr>
    <w:rPr>
      <w:rFonts w:ascii="Arial" w:hAnsi="Arial" w:cs="Arial"/>
      <w:bCs/>
      <w:szCs w:val="20"/>
    </w:rPr>
  </w:style>
  <w:style w:type="paragraph" w:customStyle="1" w:styleId="procedurestablestyle">
    <w:name w:val="procedures table style"/>
    <w:basedOn w:val="level1bodystyle"/>
    <w:rsid w:val="00633C3A"/>
    <w:pPr>
      <w:spacing w:after="60"/>
      <w:ind w:left="0"/>
    </w:pPr>
  </w:style>
  <w:style w:type="paragraph" w:styleId="BodyTextIndent">
    <w:name w:val="Body Text Indent"/>
    <w:basedOn w:val="Normal"/>
    <w:link w:val="BodyTextIndentChar"/>
    <w:rsid w:val="00633C3A"/>
    <w:pPr>
      <w:ind w:left="288"/>
    </w:pPr>
    <w:rPr>
      <w:rFonts w:ascii="Arial" w:hAnsi="Arial" w:cs="Arial"/>
      <w:bCs/>
      <w:sz w:val="22"/>
      <w:szCs w:val="20"/>
    </w:rPr>
  </w:style>
  <w:style w:type="character" w:customStyle="1" w:styleId="BodyTextIndentChar">
    <w:name w:val="Body Text Indent Char"/>
    <w:link w:val="BodyTextIndent"/>
    <w:rsid w:val="00633C3A"/>
    <w:rPr>
      <w:rFonts w:ascii="Arial" w:hAnsi="Arial" w:cs="Arial"/>
      <w:bCs/>
      <w:sz w:val="22"/>
    </w:rPr>
  </w:style>
  <w:style w:type="paragraph" w:customStyle="1" w:styleId="Default">
    <w:name w:val="Default"/>
    <w:rsid w:val="00633C3A"/>
    <w:pPr>
      <w:autoSpaceDE w:val="0"/>
      <w:autoSpaceDN w:val="0"/>
      <w:adjustRightInd w:val="0"/>
    </w:pPr>
    <w:rPr>
      <w:color w:val="000000"/>
      <w:sz w:val="24"/>
      <w:szCs w:val="24"/>
      <w:lang w:eastAsia="en-US"/>
    </w:rPr>
  </w:style>
  <w:style w:type="paragraph" w:styleId="ListParagraph">
    <w:name w:val="List Paragraph"/>
    <w:basedOn w:val="Normal"/>
    <w:uiPriority w:val="34"/>
    <w:qFormat/>
    <w:rsid w:val="00633C3A"/>
    <w:pPr>
      <w:ind w:left="720"/>
    </w:pPr>
  </w:style>
  <w:style w:type="character" w:styleId="Hyperlink">
    <w:name w:val="Hyperlink"/>
    <w:rsid w:val="00EA32A8"/>
    <w:rPr>
      <w:color w:val="0563C1"/>
      <w:u w:val="single"/>
    </w:rPr>
  </w:style>
  <w:style w:type="character" w:styleId="CommentReference">
    <w:name w:val="annotation reference"/>
    <w:rsid w:val="00AF58FC"/>
    <w:rPr>
      <w:sz w:val="16"/>
      <w:szCs w:val="16"/>
    </w:rPr>
  </w:style>
  <w:style w:type="paragraph" w:styleId="CommentText">
    <w:name w:val="annotation text"/>
    <w:basedOn w:val="Normal"/>
    <w:link w:val="CommentTextChar"/>
    <w:rsid w:val="00AF58FC"/>
    <w:rPr>
      <w:sz w:val="20"/>
      <w:szCs w:val="20"/>
    </w:rPr>
  </w:style>
  <w:style w:type="character" w:customStyle="1" w:styleId="CommentTextChar">
    <w:name w:val="Comment Text Char"/>
    <w:basedOn w:val="DefaultParagraphFont"/>
    <w:link w:val="CommentText"/>
    <w:rsid w:val="00AF58FC"/>
  </w:style>
  <w:style w:type="paragraph" w:styleId="CommentSubject">
    <w:name w:val="annotation subject"/>
    <w:basedOn w:val="CommentText"/>
    <w:next w:val="CommentText"/>
    <w:link w:val="CommentSubjectChar"/>
    <w:rsid w:val="00AF58FC"/>
    <w:rPr>
      <w:b/>
      <w:bCs/>
    </w:rPr>
  </w:style>
  <w:style w:type="character" w:customStyle="1" w:styleId="CommentSubjectChar">
    <w:name w:val="Comment Subject Char"/>
    <w:link w:val="CommentSubject"/>
    <w:rsid w:val="00AF58FC"/>
    <w:rPr>
      <w:b/>
      <w:bCs/>
    </w:rPr>
  </w:style>
  <w:style w:type="paragraph" w:styleId="BalloonText">
    <w:name w:val="Balloon Text"/>
    <w:basedOn w:val="Normal"/>
    <w:link w:val="BalloonTextChar"/>
    <w:rsid w:val="00AF58FC"/>
    <w:rPr>
      <w:rFonts w:ascii="Segoe UI" w:hAnsi="Segoe UI" w:cs="Segoe UI"/>
      <w:sz w:val="18"/>
      <w:szCs w:val="18"/>
    </w:rPr>
  </w:style>
  <w:style w:type="character" w:customStyle="1" w:styleId="BalloonTextChar">
    <w:name w:val="Balloon Text Char"/>
    <w:link w:val="BalloonText"/>
    <w:rsid w:val="00AF58FC"/>
    <w:rPr>
      <w:rFonts w:ascii="Segoe UI" w:hAnsi="Segoe UI" w:cs="Segoe UI"/>
      <w:sz w:val="18"/>
      <w:szCs w:val="18"/>
    </w:rPr>
  </w:style>
  <w:style w:type="character" w:styleId="FollowedHyperlink">
    <w:name w:val="FollowedHyperlink"/>
    <w:rsid w:val="00290D5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lhistory.org/about/principles-and-practices/" TargetMode="External"/><Relationship Id="rId5" Type="http://schemas.openxmlformats.org/officeDocument/2006/relationships/hyperlink" Target="http://www.oralhistory.org/about/principles-and-prac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8134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Oklahoma State University Institutional Review Board</vt:lpstr>
    </vt:vector>
  </TitlesOfParts>
  <Company>Oklahoma State University</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 Institutional Review Board</dc:title>
  <dc:subject/>
  <dc:creator>emctern</dc:creator>
  <cp:keywords/>
  <dc:description/>
  <cp:lastModifiedBy>Watkins, Dawnett</cp:lastModifiedBy>
  <cp:revision>2</cp:revision>
  <dcterms:created xsi:type="dcterms:W3CDTF">2018-04-12T16:17:00Z</dcterms:created>
  <dcterms:modified xsi:type="dcterms:W3CDTF">2018-04-12T16:17:00Z</dcterms:modified>
</cp:coreProperties>
</file>